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A5F33" w:rsidRDefault="001A5F33" w:rsidP="001A5F33">
      <w:pPr>
        <w:spacing w:after="0" w:line="240" w:lineRule="auto"/>
        <w:rPr>
          <w:sz w:val="20"/>
          <w:szCs w:val="20"/>
          <w:lang w:val="en-US"/>
        </w:rPr>
      </w:pPr>
      <w:r>
        <w:rPr>
          <w:noProof/>
          <w:sz w:val="20"/>
          <w:szCs w:val="20"/>
          <w:lang w:val="cs-CZ" w:eastAsia="cs-CZ"/>
        </w:rPr>
        <w:drawing>
          <wp:inline distT="0" distB="0" distL="0" distR="0">
            <wp:extent cx="3045600" cy="4791600"/>
            <wp:effectExtent l="0" t="0" r="2540" b="952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 Fig._1S.tif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5600" cy="47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5F33" w:rsidRDefault="001A5F33" w:rsidP="001A5F33">
      <w:pPr>
        <w:spacing w:after="0" w:line="240" w:lineRule="auto"/>
        <w:rPr>
          <w:sz w:val="20"/>
          <w:szCs w:val="20"/>
          <w:lang w:val="en-US"/>
        </w:rPr>
      </w:pPr>
    </w:p>
    <w:p w:rsidR="001A5F33" w:rsidRPr="00F1149C" w:rsidRDefault="001A5F33" w:rsidP="001A5F33">
      <w:pPr>
        <w:spacing w:after="0" w:line="240" w:lineRule="auto"/>
        <w:rPr>
          <w:sz w:val="20"/>
          <w:szCs w:val="20"/>
          <w:lang w:val="en-US"/>
        </w:rPr>
      </w:pPr>
      <w:r w:rsidRPr="00F1149C">
        <w:rPr>
          <w:sz w:val="20"/>
          <w:szCs w:val="20"/>
          <w:lang w:val="en-US"/>
        </w:rPr>
        <w:t>Fig. 1S.</w:t>
      </w:r>
      <w:bookmarkStart w:id="0" w:name="_GoBack"/>
      <w:r w:rsidRPr="00F1149C">
        <w:rPr>
          <w:sz w:val="20"/>
          <w:szCs w:val="20"/>
          <w:lang w:val="en-US"/>
        </w:rPr>
        <w:t xml:space="preserve"> </w:t>
      </w:r>
      <w:r w:rsidRPr="00F56133">
        <w:rPr>
          <w:sz w:val="20"/>
          <w:szCs w:val="20"/>
          <w:lang w:val="en-US"/>
        </w:rPr>
        <w:t xml:space="preserve">Micrographs of the </w:t>
      </w:r>
      <w:r w:rsidRPr="00F56133">
        <w:rPr>
          <w:i/>
          <w:sz w:val="20"/>
          <w:szCs w:val="20"/>
          <w:lang w:val="en-US"/>
        </w:rPr>
        <w:t>A. gracile</w:t>
      </w:r>
      <w:r w:rsidRPr="00F56133">
        <w:rPr>
          <w:sz w:val="20"/>
          <w:szCs w:val="20"/>
          <w:lang w:val="en-US"/>
        </w:rPr>
        <w:t xml:space="preserve"> culture used in this study</w:t>
      </w:r>
      <w:r w:rsidRPr="00F1149C">
        <w:rPr>
          <w:sz w:val="20"/>
          <w:szCs w:val="20"/>
          <w:lang w:val="en-US"/>
        </w:rPr>
        <w:t xml:space="preserve">. </w:t>
      </w:r>
      <w:r w:rsidRPr="000B1A20">
        <w:rPr>
          <w:i/>
          <w:sz w:val="20"/>
          <w:szCs w:val="20"/>
          <w:lang w:val="en-US"/>
        </w:rPr>
        <w:t>Upper panel</w:t>
      </w:r>
      <w:r w:rsidRPr="00F1149C">
        <w:rPr>
          <w:sz w:val="20"/>
          <w:szCs w:val="20"/>
          <w:lang w:val="en-US"/>
        </w:rPr>
        <w:t xml:space="preserve">: mature filaments with heterocysts. </w:t>
      </w:r>
      <w:r w:rsidRPr="000B1A20">
        <w:rPr>
          <w:i/>
          <w:sz w:val="20"/>
          <w:szCs w:val="20"/>
          <w:lang w:val="en-US"/>
        </w:rPr>
        <w:t>Intermediate panel</w:t>
      </w:r>
      <w:r w:rsidRPr="00F1149C">
        <w:rPr>
          <w:sz w:val="20"/>
          <w:szCs w:val="20"/>
          <w:lang w:val="en-US"/>
        </w:rPr>
        <w:t xml:space="preserve">: young filament. </w:t>
      </w:r>
      <w:r w:rsidRPr="000B1A20">
        <w:rPr>
          <w:i/>
          <w:sz w:val="20"/>
          <w:szCs w:val="20"/>
          <w:lang w:val="en-US"/>
        </w:rPr>
        <w:t>Lower panel</w:t>
      </w:r>
      <w:r w:rsidRPr="00F1149C">
        <w:rPr>
          <w:sz w:val="20"/>
          <w:szCs w:val="20"/>
          <w:lang w:val="en-US"/>
        </w:rPr>
        <w:t xml:space="preserve">: akinete. Scale bar represents 50 </w:t>
      </w:r>
      <w:bookmarkEnd w:id="0"/>
      <w:r>
        <w:rPr>
          <w:rFonts w:cs="Times New Roman"/>
          <w:sz w:val="20"/>
          <w:szCs w:val="20"/>
          <w:lang w:val="en-US"/>
        </w:rPr>
        <w:t>µ</w:t>
      </w:r>
      <w:r w:rsidRPr="00F1149C">
        <w:rPr>
          <w:sz w:val="20"/>
          <w:szCs w:val="20"/>
          <w:lang w:val="en-US"/>
        </w:rPr>
        <w:t>m.</w:t>
      </w:r>
    </w:p>
    <w:p w:rsidR="001A5F33" w:rsidRDefault="001A5F33" w:rsidP="001A5F33">
      <w:pPr>
        <w:spacing w:after="0" w:line="240" w:lineRule="auto"/>
        <w:rPr>
          <w:sz w:val="20"/>
          <w:szCs w:val="20"/>
          <w:lang w:val="en-US"/>
        </w:rPr>
      </w:pPr>
    </w:p>
    <w:p w:rsidR="001A5F33" w:rsidRDefault="001A5F33" w:rsidP="001A5F33">
      <w:pPr>
        <w:spacing w:after="0" w:line="240" w:lineRule="auto"/>
        <w:rPr>
          <w:sz w:val="20"/>
          <w:szCs w:val="20"/>
          <w:lang w:val="en-US"/>
        </w:rPr>
      </w:pPr>
      <w:r>
        <w:rPr>
          <w:noProof/>
          <w:sz w:val="20"/>
          <w:szCs w:val="20"/>
          <w:lang w:val="cs-CZ" w:eastAsia="cs-CZ"/>
        </w:rPr>
        <w:drawing>
          <wp:inline distT="0" distB="0" distL="0" distR="0">
            <wp:extent cx="5760720" cy="1548765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 Fig._2S.t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4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5F33" w:rsidRDefault="001A5F33" w:rsidP="001A5F33">
      <w:pPr>
        <w:spacing w:after="0" w:line="240" w:lineRule="auto"/>
        <w:rPr>
          <w:sz w:val="20"/>
          <w:szCs w:val="20"/>
          <w:lang w:val="en-US"/>
        </w:rPr>
      </w:pPr>
    </w:p>
    <w:p w:rsidR="001A5F33" w:rsidRPr="00F1149C" w:rsidRDefault="001A5F33" w:rsidP="001A5F33">
      <w:pPr>
        <w:spacing w:after="0" w:line="240" w:lineRule="auto"/>
        <w:rPr>
          <w:sz w:val="20"/>
          <w:szCs w:val="20"/>
          <w:lang w:val="en-US"/>
        </w:rPr>
      </w:pPr>
      <w:r w:rsidRPr="00F1149C">
        <w:rPr>
          <w:sz w:val="20"/>
          <w:szCs w:val="20"/>
          <w:lang w:val="en-US"/>
        </w:rPr>
        <w:t xml:space="preserve">Fig. 2S. </w:t>
      </w:r>
      <w:r w:rsidRPr="00F56133">
        <w:rPr>
          <w:sz w:val="20"/>
          <w:szCs w:val="20"/>
          <w:lang w:val="en-US"/>
        </w:rPr>
        <w:t>SDS</w:t>
      </w:r>
      <w:r w:rsidRPr="00F1149C">
        <w:rPr>
          <w:sz w:val="20"/>
          <w:szCs w:val="20"/>
          <w:lang w:val="en-US"/>
        </w:rPr>
        <w:t>-</w:t>
      </w:r>
      <w:r w:rsidRPr="00F56133">
        <w:rPr>
          <w:sz w:val="20"/>
          <w:szCs w:val="20"/>
          <w:lang w:val="en-US"/>
        </w:rPr>
        <w:t>PAGE analysis of anion</w:t>
      </w:r>
      <w:r>
        <w:rPr>
          <w:sz w:val="20"/>
          <w:szCs w:val="20"/>
          <w:lang w:val="en-US"/>
        </w:rPr>
        <w:t>-</w:t>
      </w:r>
      <w:r w:rsidRPr="00F56133">
        <w:rPr>
          <w:sz w:val="20"/>
          <w:szCs w:val="20"/>
          <w:lang w:val="en-US"/>
        </w:rPr>
        <w:t>exchange fractions eluted with a linear 5–100 mM sodium phosphate gradient.</w:t>
      </w:r>
      <w:r w:rsidRPr="00F1149C">
        <w:rPr>
          <w:sz w:val="20"/>
          <w:szCs w:val="20"/>
          <w:lang w:val="en-US"/>
        </w:rPr>
        <w:t xml:space="preserve"> Fractions 1–40 (of 45) were analyzed on a 12% gel. Fractions with little or no CPC (1–15 and 30–40) were ten times concentrated in a </w:t>
      </w:r>
      <w:r w:rsidRPr="00F56133">
        <w:rPr>
          <w:i/>
          <w:sz w:val="20"/>
          <w:szCs w:val="20"/>
          <w:lang w:val="en-US"/>
        </w:rPr>
        <w:t>SpeedVac</w:t>
      </w:r>
      <w:r w:rsidRPr="00F1149C">
        <w:rPr>
          <w:sz w:val="20"/>
          <w:szCs w:val="20"/>
          <w:lang w:val="en-US"/>
        </w:rPr>
        <w:t xml:space="preserve"> and 20 </w:t>
      </w:r>
      <w:r w:rsidRPr="00F1149C">
        <w:rPr>
          <w:rFonts w:cs="Times New Roman"/>
          <w:sz w:val="20"/>
          <w:szCs w:val="20"/>
          <w:lang w:val="en-US"/>
        </w:rPr>
        <w:t>μ</w:t>
      </w:r>
      <w:r w:rsidRPr="00F1149C">
        <w:rPr>
          <w:sz w:val="20"/>
          <w:szCs w:val="20"/>
          <w:lang w:val="en-US"/>
        </w:rPr>
        <w:t xml:space="preserve">L was loaded onto the gel. For the fractions with CPC </w:t>
      </w:r>
      <w:r>
        <w:rPr>
          <w:sz w:val="20"/>
          <w:szCs w:val="20"/>
          <w:lang w:val="en-US"/>
        </w:rPr>
        <w:br/>
      </w:r>
      <w:r w:rsidRPr="00F1149C">
        <w:rPr>
          <w:sz w:val="20"/>
          <w:szCs w:val="20"/>
          <w:lang w:val="en-US"/>
        </w:rPr>
        <w:t xml:space="preserve">(15–30) the sample volume was adjusted so that 5 to 10 μg of CPC was loaded onto the gel. Note the absence of contaminating proteins in the fractions with </w:t>
      </w:r>
      <w:r w:rsidRPr="00F56133">
        <w:rPr>
          <w:sz w:val="20"/>
          <w:szCs w:val="20"/>
          <w:lang w:val="en-US"/>
        </w:rPr>
        <w:t>A</w:t>
      </w:r>
      <w:r w:rsidRPr="00F1149C">
        <w:rPr>
          <w:sz w:val="20"/>
          <w:szCs w:val="20"/>
          <w:vertAlign w:val="subscript"/>
          <w:lang w:val="en-US"/>
        </w:rPr>
        <w:t>620</w:t>
      </w:r>
      <w:r w:rsidRPr="000B1A20">
        <w:rPr>
          <w:sz w:val="20"/>
          <w:szCs w:val="20"/>
          <w:lang w:val="en-US"/>
        </w:rPr>
        <w:t>/</w:t>
      </w:r>
      <w:r w:rsidRPr="00F56133">
        <w:rPr>
          <w:sz w:val="20"/>
          <w:szCs w:val="20"/>
          <w:lang w:val="en-US"/>
        </w:rPr>
        <w:t>A</w:t>
      </w:r>
      <w:r w:rsidRPr="00F1149C">
        <w:rPr>
          <w:sz w:val="20"/>
          <w:szCs w:val="20"/>
          <w:vertAlign w:val="subscript"/>
          <w:lang w:val="en-US"/>
        </w:rPr>
        <w:t>280</w:t>
      </w:r>
      <w:r w:rsidRPr="000B1A20">
        <w:rPr>
          <w:sz w:val="20"/>
          <w:szCs w:val="20"/>
          <w:lang w:val="en-US"/>
        </w:rPr>
        <w:t xml:space="preserve"> </w:t>
      </w:r>
      <w:r w:rsidRPr="00F1149C">
        <w:rPr>
          <w:sz w:val="20"/>
          <w:szCs w:val="20"/>
          <w:lang w:val="en-US"/>
        </w:rPr>
        <w:t xml:space="preserve">&gt; 5. </w:t>
      </w:r>
    </w:p>
    <w:p w:rsidR="001A5F33" w:rsidRDefault="001A5F33" w:rsidP="001A5F33">
      <w:pPr>
        <w:spacing w:after="0" w:line="240" w:lineRule="auto"/>
        <w:rPr>
          <w:sz w:val="20"/>
          <w:szCs w:val="20"/>
          <w:lang w:val="en-US"/>
        </w:rPr>
      </w:pPr>
    </w:p>
    <w:p w:rsidR="001A5F33" w:rsidRDefault="001A5F33" w:rsidP="001A5F33">
      <w:pPr>
        <w:spacing w:after="0" w:line="240" w:lineRule="auto"/>
        <w:rPr>
          <w:sz w:val="20"/>
          <w:szCs w:val="20"/>
          <w:lang w:val="en-US"/>
        </w:rPr>
      </w:pPr>
      <w:r>
        <w:rPr>
          <w:noProof/>
          <w:sz w:val="20"/>
          <w:szCs w:val="20"/>
          <w:lang w:val="cs-CZ" w:eastAsia="cs-CZ"/>
        </w:rPr>
        <w:lastRenderedPageBreak/>
        <w:drawing>
          <wp:inline distT="0" distB="0" distL="0" distR="0">
            <wp:extent cx="5940000" cy="4755600"/>
            <wp:effectExtent l="0" t="0" r="3810" b="6985"/>
            <wp:docPr id="4" name="Obrázek 4" descr="C:\Users\Petra\Desktop\Photosynthetica 3\22-2022\2022 Fig._3S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etra\Desktop\Photosynthetica 3\22-2022\2022 Fig._3S.ti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75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F33" w:rsidRDefault="001A5F33" w:rsidP="001A5F33">
      <w:pPr>
        <w:spacing w:after="0" w:line="240" w:lineRule="auto"/>
        <w:rPr>
          <w:sz w:val="20"/>
          <w:szCs w:val="20"/>
          <w:lang w:val="en-US"/>
        </w:rPr>
      </w:pPr>
    </w:p>
    <w:p w:rsidR="001A5F33" w:rsidRPr="00F1149C" w:rsidRDefault="001A5F33" w:rsidP="001A5F33">
      <w:pPr>
        <w:spacing w:after="0" w:line="240" w:lineRule="auto"/>
        <w:rPr>
          <w:sz w:val="20"/>
          <w:szCs w:val="20"/>
          <w:lang w:val="en-US"/>
        </w:rPr>
      </w:pPr>
      <w:r w:rsidRPr="00F1149C">
        <w:rPr>
          <w:sz w:val="20"/>
          <w:szCs w:val="20"/>
          <w:lang w:val="en-US"/>
        </w:rPr>
        <w:t>Fig. 3S. MALDI</w:t>
      </w:r>
      <w:r>
        <w:rPr>
          <w:sz w:val="20"/>
          <w:szCs w:val="20"/>
          <w:lang w:val="en-US"/>
        </w:rPr>
        <w:t>-</w:t>
      </w:r>
      <w:r w:rsidRPr="00F1149C">
        <w:rPr>
          <w:sz w:val="20"/>
          <w:szCs w:val="20"/>
          <w:lang w:val="en-US"/>
        </w:rPr>
        <w:t xml:space="preserve">MS spectrum of the CPC polypeptide band 1 (beta subunit, Fig. </w:t>
      </w:r>
      <w:r w:rsidR="00145BA9">
        <w:rPr>
          <w:sz w:val="20"/>
          <w:szCs w:val="20"/>
          <w:lang w:val="en-US"/>
        </w:rPr>
        <w:t>2</w:t>
      </w:r>
      <w:r w:rsidRPr="00F1149C">
        <w:rPr>
          <w:i/>
          <w:sz w:val="20"/>
          <w:szCs w:val="20"/>
          <w:lang w:val="en-US"/>
        </w:rPr>
        <w:t>A</w:t>
      </w:r>
      <w:r w:rsidRPr="00F1149C">
        <w:rPr>
          <w:sz w:val="20"/>
          <w:szCs w:val="20"/>
          <w:lang w:val="en-US"/>
        </w:rPr>
        <w:t xml:space="preserve">) with CHCA as the ionization matrix. </w:t>
      </w:r>
    </w:p>
    <w:p w:rsidR="001A5F33" w:rsidRDefault="001A5F33" w:rsidP="001A5F33">
      <w:pPr>
        <w:spacing w:after="0" w:line="240" w:lineRule="auto"/>
        <w:rPr>
          <w:sz w:val="20"/>
          <w:szCs w:val="20"/>
          <w:lang w:val="en-US"/>
        </w:rPr>
      </w:pPr>
    </w:p>
    <w:p w:rsidR="001A5F33" w:rsidRDefault="001A5F33" w:rsidP="001A5F33">
      <w:pPr>
        <w:spacing w:after="0" w:line="240" w:lineRule="auto"/>
        <w:rPr>
          <w:sz w:val="20"/>
          <w:szCs w:val="20"/>
          <w:lang w:val="en-US"/>
        </w:rPr>
      </w:pPr>
      <w:r>
        <w:rPr>
          <w:noProof/>
          <w:sz w:val="20"/>
          <w:szCs w:val="20"/>
          <w:lang w:val="cs-CZ" w:eastAsia="cs-CZ"/>
        </w:rPr>
        <w:drawing>
          <wp:inline distT="0" distB="0" distL="0" distR="0">
            <wp:extent cx="5940000" cy="4755600"/>
            <wp:effectExtent l="0" t="0" r="3810" b="6985"/>
            <wp:docPr id="5" name="Obrázek 5" descr="C:\Users\Petra\Desktop\Photosynthetica 3\22-2022\2022 Fig._4S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etra\Desktop\Photosynthetica 3\22-2022\2022 Fig._4S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75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F33" w:rsidRDefault="001A5F33" w:rsidP="001A5F33">
      <w:pPr>
        <w:spacing w:after="0" w:line="240" w:lineRule="auto"/>
        <w:rPr>
          <w:sz w:val="20"/>
          <w:szCs w:val="20"/>
          <w:lang w:val="en-US"/>
        </w:rPr>
      </w:pPr>
    </w:p>
    <w:p w:rsidR="001A5F33" w:rsidRPr="00F1149C" w:rsidRDefault="001A5F33" w:rsidP="001A5F33">
      <w:pPr>
        <w:spacing w:after="0" w:line="240" w:lineRule="auto"/>
        <w:rPr>
          <w:sz w:val="20"/>
          <w:szCs w:val="20"/>
          <w:lang w:val="en-US"/>
        </w:rPr>
      </w:pPr>
      <w:r w:rsidRPr="00F1149C">
        <w:rPr>
          <w:sz w:val="20"/>
          <w:szCs w:val="20"/>
          <w:lang w:val="en-US"/>
        </w:rPr>
        <w:t>Fig. 4S. MALDI</w:t>
      </w:r>
      <w:r>
        <w:rPr>
          <w:sz w:val="20"/>
          <w:szCs w:val="20"/>
          <w:lang w:val="en-US"/>
        </w:rPr>
        <w:t>-</w:t>
      </w:r>
      <w:r w:rsidRPr="00F1149C">
        <w:rPr>
          <w:sz w:val="20"/>
          <w:szCs w:val="20"/>
          <w:lang w:val="en-US"/>
        </w:rPr>
        <w:t xml:space="preserve">MS spectrum of the CPC polypeptide band 1 (beta subunit, Fig. </w:t>
      </w:r>
      <w:r w:rsidR="00145BA9">
        <w:rPr>
          <w:sz w:val="20"/>
          <w:szCs w:val="20"/>
          <w:lang w:val="en-US"/>
        </w:rPr>
        <w:t>2</w:t>
      </w:r>
      <w:r w:rsidRPr="00F1149C">
        <w:rPr>
          <w:i/>
          <w:sz w:val="20"/>
          <w:szCs w:val="20"/>
          <w:lang w:val="en-US"/>
        </w:rPr>
        <w:t>A</w:t>
      </w:r>
      <w:r w:rsidRPr="00F1149C">
        <w:rPr>
          <w:sz w:val="20"/>
          <w:szCs w:val="20"/>
          <w:lang w:val="en-US"/>
        </w:rPr>
        <w:t xml:space="preserve">) with CHCA+IP as the ionization matrix. </w:t>
      </w:r>
    </w:p>
    <w:p w:rsidR="001A5F33" w:rsidRDefault="001A5F33" w:rsidP="001A5F33">
      <w:pPr>
        <w:spacing w:after="0" w:line="240" w:lineRule="auto"/>
        <w:rPr>
          <w:sz w:val="20"/>
          <w:szCs w:val="20"/>
          <w:lang w:val="en-US"/>
        </w:rPr>
      </w:pPr>
    </w:p>
    <w:p w:rsidR="001A5F33" w:rsidRDefault="001A5F33" w:rsidP="001A5F33">
      <w:pPr>
        <w:spacing w:after="0" w:line="240" w:lineRule="auto"/>
        <w:rPr>
          <w:sz w:val="20"/>
          <w:szCs w:val="20"/>
          <w:lang w:val="en-US"/>
        </w:rPr>
      </w:pPr>
      <w:r>
        <w:rPr>
          <w:noProof/>
          <w:sz w:val="20"/>
          <w:szCs w:val="20"/>
          <w:lang w:val="cs-CZ" w:eastAsia="cs-CZ"/>
        </w:rPr>
        <w:drawing>
          <wp:inline distT="0" distB="0" distL="0" distR="0">
            <wp:extent cx="5940000" cy="4755600"/>
            <wp:effectExtent l="0" t="0" r="3810" b="6985"/>
            <wp:docPr id="6" name="Obrázek 6" descr="C:\Users\Petra\Desktop\Photosynthetica 3\22-2022\2022 Fig._5S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etra\Desktop\Photosynthetica 3\22-2022\2022 Fig._5S.t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75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F33" w:rsidRDefault="001A5F33" w:rsidP="001A5F33">
      <w:pPr>
        <w:spacing w:after="0" w:line="240" w:lineRule="auto"/>
        <w:rPr>
          <w:sz w:val="20"/>
          <w:szCs w:val="20"/>
          <w:lang w:val="en-US"/>
        </w:rPr>
      </w:pPr>
    </w:p>
    <w:p w:rsidR="001A5F33" w:rsidRPr="00F1149C" w:rsidRDefault="001A5F33" w:rsidP="001A5F33">
      <w:pPr>
        <w:spacing w:after="0" w:line="240" w:lineRule="auto"/>
        <w:rPr>
          <w:sz w:val="20"/>
          <w:szCs w:val="20"/>
          <w:lang w:val="en-US"/>
        </w:rPr>
      </w:pPr>
      <w:r w:rsidRPr="00F1149C">
        <w:rPr>
          <w:sz w:val="20"/>
          <w:szCs w:val="20"/>
          <w:lang w:val="en-US"/>
        </w:rPr>
        <w:t>Fig. 5S. MALDI</w:t>
      </w:r>
      <w:r>
        <w:rPr>
          <w:sz w:val="20"/>
          <w:szCs w:val="20"/>
          <w:lang w:val="en-US"/>
        </w:rPr>
        <w:t>-</w:t>
      </w:r>
      <w:r w:rsidRPr="00F1149C">
        <w:rPr>
          <w:sz w:val="20"/>
          <w:szCs w:val="20"/>
          <w:lang w:val="en-US"/>
        </w:rPr>
        <w:t xml:space="preserve">MS spectrum of the CPC polypeptide band 2 (alpha subunit, Fig. </w:t>
      </w:r>
      <w:r w:rsidR="00145BA9">
        <w:rPr>
          <w:sz w:val="20"/>
          <w:szCs w:val="20"/>
          <w:lang w:val="en-US"/>
        </w:rPr>
        <w:t>2</w:t>
      </w:r>
      <w:r w:rsidRPr="00F1149C">
        <w:rPr>
          <w:i/>
          <w:sz w:val="20"/>
          <w:szCs w:val="20"/>
          <w:lang w:val="en-US"/>
        </w:rPr>
        <w:t>A</w:t>
      </w:r>
      <w:r w:rsidRPr="00F1149C">
        <w:rPr>
          <w:sz w:val="20"/>
          <w:szCs w:val="20"/>
          <w:lang w:val="en-US"/>
        </w:rPr>
        <w:t xml:space="preserve">) with CHCA as the ionization matrix. </w:t>
      </w:r>
    </w:p>
    <w:p w:rsidR="001A5F33" w:rsidRDefault="001A5F33" w:rsidP="001A5F33">
      <w:pPr>
        <w:spacing w:after="0" w:line="240" w:lineRule="auto"/>
        <w:rPr>
          <w:sz w:val="20"/>
          <w:szCs w:val="20"/>
          <w:lang w:val="en-US"/>
        </w:rPr>
      </w:pPr>
    </w:p>
    <w:p w:rsidR="001A5F33" w:rsidRDefault="001A5F33" w:rsidP="001A5F33">
      <w:pPr>
        <w:spacing w:after="0" w:line="240" w:lineRule="auto"/>
        <w:rPr>
          <w:sz w:val="20"/>
          <w:szCs w:val="20"/>
          <w:lang w:val="en-US"/>
        </w:rPr>
      </w:pPr>
      <w:r>
        <w:rPr>
          <w:noProof/>
          <w:sz w:val="20"/>
          <w:szCs w:val="20"/>
          <w:lang w:val="cs-CZ" w:eastAsia="cs-CZ"/>
        </w:rPr>
        <w:drawing>
          <wp:inline distT="0" distB="0" distL="0" distR="0">
            <wp:extent cx="5922000" cy="4741200"/>
            <wp:effectExtent l="0" t="0" r="3175" b="2540"/>
            <wp:docPr id="7" name="Obrázek 7" descr="C:\Users\Petra\Desktop\Photosynthetica 3\22-2022\2022 Fig_6S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etra\Desktop\Photosynthetica 3\22-2022\2022 Fig_6S.t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000" cy="474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F33" w:rsidRDefault="001A5F33" w:rsidP="001A5F33">
      <w:pPr>
        <w:spacing w:after="0" w:line="240" w:lineRule="auto"/>
        <w:rPr>
          <w:sz w:val="20"/>
          <w:szCs w:val="20"/>
          <w:lang w:val="en-US"/>
        </w:rPr>
      </w:pPr>
    </w:p>
    <w:p w:rsidR="001A5F33" w:rsidRPr="00F1149C" w:rsidRDefault="001A5F33" w:rsidP="001A5F33">
      <w:pPr>
        <w:spacing w:after="0" w:line="240" w:lineRule="auto"/>
        <w:rPr>
          <w:sz w:val="20"/>
          <w:szCs w:val="20"/>
          <w:lang w:val="en-US"/>
        </w:rPr>
      </w:pPr>
      <w:r w:rsidRPr="00F1149C">
        <w:rPr>
          <w:sz w:val="20"/>
          <w:szCs w:val="20"/>
          <w:lang w:val="en-US"/>
        </w:rPr>
        <w:t>Fig. 6S. MALDI</w:t>
      </w:r>
      <w:r>
        <w:rPr>
          <w:sz w:val="20"/>
          <w:szCs w:val="20"/>
          <w:lang w:val="en-US"/>
        </w:rPr>
        <w:t>-</w:t>
      </w:r>
      <w:r w:rsidRPr="00F1149C">
        <w:rPr>
          <w:sz w:val="20"/>
          <w:szCs w:val="20"/>
          <w:lang w:val="en-US"/>
        </w:rPr>
        <w:t xml:space="preserve">MS spectrum of the CPC polypeptide band 2 (alpha subunit, Fig. </w:t>
      </w:r>
      <w:r w:rsidR="00145BA9">
        <w:rPr>
          <w:sz w:val="20"/>
          <w:szCs w:val="20"/>
          <w:lang w:val="en-US"/>
        </w:rPr>
        <w:t>2</w:t>
      </w:r>
      <w:r w:rsidRPr="00F1149C">
        <w:rPr>
          <w:i/>
          <w:sz w:val="20"/>
          <w:szCs w:val="20"/>
          <w:lang w:val="en-US"/>
        </w:rPr>
        <w:t>A</w:t>
      </w:r>
      <w:r w:rsidRPr="00F1149C">
        <w:rPr>
          <w:sz w:val="20"/>
          <w:szCs w:val="20"/>
          <w:lang w:val="en-US"/>
        </w:rPr>
        <w:t xml:space="preserve">) with CHCA+IP as the ionization matrix. </w:t>
      </w:r>
    </w:p>
    <w:p w:rsidR="00D316B5" w:rsidRDefault="00D316B5"/>
    <w:sectPr w:rsidR="00D316B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1888"/>
    <w:rsid w:val="00145BA9"/>
    <w:rsid w:val="001A5F33"/>
    <w:rsid w:val="00C01888"/>
    <w:rsid w:val="00D316B5"/>
    <w:rsid w:val="00F561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A18EFA2-628D-4380-AAD4-AC703F7EC2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1A5F33"/>
    <w:pPr>
      <w:spacing w:line="480" w:lineRule="auto"/>
      <w:jc w:val="both"/>
    </w:pPr>
    <w:rPr>
      <w:rFonts w:ascii="Times New Roman" w:hAnsi="Times New Roman"/>
      <w:lang w:val="es-CL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1A5F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A5F33"/>
    <w:rPr>
      <w:rFonts w:ascii="Tahoma" w:hAnsi="Tahoma" w:cs="Tahoma"/>
      <w:sz w:val="16"/>
      <w:szCs w:val="16"/>
      <w:lang w:val="es-C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theme" Target="theme/theme1.xml"/><Relationship Id="rId5" Type="http://schemas.openxmlformats.org/officeDocument/2006/relationships/image" Target="media/image2.tiff"/><Relationship Id="rId10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5</Pages>
  <Words>172</Words>
  <Characters>1021</Characters>
  <Application>Microsoft Office Word</Application>
  <DocSecurity>0</DocSecurity>
  <Lines>8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1191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Petra</dc:creator>
  <cp:lastModifiedBy>Štětinová Ivana UEB</cp:lastModifiedBy>
  <cp:revision>4</cp:revision>
  <dcterms:created xsi:type="dcterms:W3CDTF">2019-02-21T14:35:00Z</dcterms:created>
  <dcterms:modified xsi:type="dcterms:W3CDTF">2019-04-16T11:54:00Z</dcterms:modified>
</cp:coreProperties>
</file>