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DC" w:rsidRPr="00190BDB" w:rsidRDefault="002428DC" w:rsidP="002428DC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  <w:rPrChange w:id="0" w:author="Spoustová Petra UEB" w:date="2020-01-02T10:38:00Z">
            <w:rPr>
              <w:rFonts w:ascii="Times New Roman" w:hAnsi="Times New Roman" w:cs="Times New Roman"/>
            </w:rPr>
          </w:rPrChange>
        </w:rPr>
      </w:pPr>
      <w:r w:rsidRPr="00190BDB">
        <w:rPr>
          <w:rFonts w:ascii="Times New Roman" w:hAnsi="Times New Roman" w:cs="Times New Roman"/>
          <w:noProof/>
          <w:sz w:val="18"/>
          <w:szCs w:val="18"/>
          <w:lang w:val="cs-CZ" w:eastAsia="cs-CZ"/>
          <w:rPrChange w:id="1" w:author="Spoustová Petra UEB" w:date="2020-01-02T10:38:00Z">
            <w:rPr>
              <w:rFonts w:ascii="Times New Roman" w:hAnsi="Times New Roman" w:cs="Times New Roman"/>
              <w:noProof/>
              <w:lang w:val="cs-CZ" w:eastAsia="cs-CZ"/>
            </w:rPr>
          </w:rPrChange>
        </w:rPr>
        <w:drawing>
          <wp:inline distT="0" distB="0" distL="0" distR="0" wp14:anchorId="0BAF7D27" wp14:editId="6660F371">
            <wp:extent cx="4209330" cy="8693150"/>
            <wp:effectExtent l="0" t="0" r="127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696" cy="871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8DC" w:rsidRPr="002428DC" w:rsidRDefault="002428DC" w:rsidP="002428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rPrChange w:id="2" w:author="Spoustová Petra UEB" w:date="2020-01-02T10:38:00Z">
            <w:rPr>
              <w:rFonts w:ascii="Times New Roman" w:hAnsi="Times New Roman" w:cs="Times New Roman"/>
            </w:rPr>
          </w:rPrChange>
        </w:rPr>
      </w:pPr>
      <w:r w:rsidRPr="002428DC">
        <w:rPr>
          <w:rFonts w:ascii="Times New Roman" w:hAnsi="Times New Roman" w:cs="Times New Roman"/>
          <w:sz w:val="20"/>
          <w:szCs w:val="20"/>
          <w:rPrChange w:id="3" w:author="Spoustová Petra UEB" w:date="2020-01-02T10:38:00Z">
            <w:rPr>
              <w:rFonts w:ascii="Times New Roman" w:hAnsi="Times New Roman" w:cs="Times New Roman"/>
            </w:rPr>
          </w:rPrChange>
        </w:rPr>
        <w:lastRenderedPageBreak/>
        <w:t>F</w:t>
      </w:r>
      <w:r w:rsidRPr="002428DC">
        <w:rPr>
          <w:rFonts w:ascii="Times New Roman" w:hAnsi="Times New Roman" w:cs="Times New Roman"/>
          <w:sz w:val="20"/>
          <w:szCs w:val="20"/>
        </w:rPr>
        <w:t>ig.</w:t>
      </w:r>
      <w:r w:rsidRPr="002428DC">
        <w:rPr>
          <w:rFonts w:ascii="Times New Roman" w:hAnsi="Times New Roman" w:cs="Times New Roman"/>
          <w:sz w:val="20"/>
          <w:szCs w:val="20"/>
          <w:rPrChange w:id="4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1S</w:t>
      </w:r>
      <w:r w:rsidRPr="002428DC">
        <w:rPr>
          <w:rFonts w:ascii="Times New Roman" w:hAnsi="Times New Roman" w:cs="Times New Roman"/>
          <w:sz w:val="20"/>
          <w:szCs w:val="20"/>
        </w:rPr>
        <w:t>.</w:t>
      </w:r>
      <w:r w:rsidRPr="002428DC">
        <w:rPr>
          <w:rFonts w:ascii="Times New Roman" w:hAnsi="Times New Roman" w:cs="Times New Roman"/>
          <w:sz w:val="20"/>
          <w:szCs w:val="20"/>
          <w:rPrChange w:id="5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Graphical representation of the comparison between old and new leaves of </w:t>
      </w:r>
      <w:r w:rsidRPr="002428DC">
        <w:rPr>
          <w:rFonts w:ascii="Times New Roman" w:hAnsi="Times New Roman" w:cs="Times New Roman"/>
          <w:i/>
          <w:sz w:val="20"/>
          <w:szCs w:val="20"/>
          <w:rPrChange w:id="6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Berberis vulgaris</w:t>
      </w:r>
      <w:r w:rsidRPr="002428DC">
        <w:rPr>
          <w:rFonts w:ascii="Times New Roman" w:hAnsi="Times New Roman" w:cs="Times New Roman"/>
          <w:sz w:val="20"/>
          <w:szCs w:val="20"/>
          <w:rPrChange w:id="7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and </w:t>
      </w:r>
      <w:r w:rsidRPr="002428DC">
        <w:rPr>
          <w:rFonts w:ascii="Times New Roman" w:hAnsi="Times New Roman" w:cs="Times New Roman"/>
          <w:i/>
          <w:sz w:val="20"/>
          <w:szCs w:val="20"/>
          <w:rPrChange w:id="8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 xml:space="preserve">Quercus </w:t>
      </w:r>
      <w:r w:rsidRPr="002428DC">
        <w:rPr>
          <w:rFonts w:ascii="Times New Roman" w:hAnsi="Times New Roman" w:cs="Times New Roman"/>
          <w:sz w:val="20"/>
          <w:szCs w:val="20"/>
        </w:rPr>
        <w:t>×</w:t>
      </w:r>
      <w:r w:rsidRPr="002428DC">
        <w:rPr>
          <w:rFonts w:ascii="Times New Roman" w:hAnsi="Times New Roman" w:cs="Times New Roman"/>
          <w:sz w:val="20"/>
          <w:szCs w:val="20"/>
          <w:rPrChange w:id="9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</w:t>
      </w:r>
      <w:r w:rsidRPr="002428DC">
        <w:rPr>
          <w:rFonts w:ascii="Times New Roman" w:hAnsi="Times New Roman" w:cs="Times New Roman"/>
          <w:i/>
          <w:sz w:val="20"/>
          <w:szCs w:val="20"/>
          <w:rPrChange w:id="10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hispanica</w:t>
      </w:r>
      <w:r w:rsidRPr="002428DC">
        <w:rPr>
          <w:rFonts w:ascii="Times New Roman" w:hAnsi="Times New Roman" w:cs="Times New Roman"/>
          <w:sz w:val="20"/>
          <w:szCs w:val="20"/>
          <w:rPrChange w:id="11" w:author="Spoustová Petra UEB" w:date="2020-01-02T10:38:00Z">
            <w:rPr>
              <w:rFonts w:ascii="Times New Roman" w:hAnsi="Times New Roman" w:cs="Times New Roman"/>
            </w:rPr>
          </w:rPrChange>
        </w:rPr>
        <w:t>. Displayed are the measurements of frost resistance as PEL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12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eff</w:t>
      </w:r>
      <w:r w:rsidRPr="002428DC">
        <w:rPr>
          <w:rFonts w:ascii="Times New Roman" w:hAnsi="Times New Roman" w:cs="Times New Roman"/>
          <w:sz w:val="20"/>
          <w:szCs w:val="20"/>
          <w:rPrChange w:id="13" w:author="Spoustová Petra UEB" w:date="2020-01-02T10:38:00Z">
            <w:rPr>
              <w:rFonts w:ascii="Times New Roman" w:hAnsi="Times New Roman" w:cs="Times New Roman"/>
            </w:rPr>
          </w:rPrChange>
        </w:rPr>
        <w:t>, photosynthesis rates (</w:t>
      </w:r>
      <w:r w:rsidRPr="002428DC">
        <w:rPr>
          <w:rFonts w:ascii="Times New Roman" w:hAnsi="Times New Roman" w:cs="Times New Roman"/>
          <w:i/>
          <w:sz w:val="20"/>
          <w:szCs w:val="20"/>
          <w:rPrChange w:id="14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P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15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Nsat</w:t>
      </w:r>
      <w:r w:rsidRPr="002428DC">
        <w:rPr>
          <w:rFonts w:ascii="Times New Roman" w:hAnsi="Times New Roman" w:cs="Times New Roman"/>
          <w:sz w:val="20"/>
          <w:szCs w:val="20"/>
          <w:rPrChange w:id="16" w:author="Spoustová Petra UEB" w:date="2020-01-02T10:38:00Z">
            <w:rPr>
              <w:rFonts w:ascii="Times New Roman" w:hAnsi="Times New Roman" w:cs="Times New Roman"/>
            </w:rPr>
          </w:rPrChange>
        </w:rPr>
        <w:t>), maximum carboxylation capacity (V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17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cmax</w:t>
      </w:r>
      <w:r w:rsidRPr="002428DC">
        <w:rPr>
          <w:rFonts w:ascii="Times New Roman" w:hAnsi="Times New Roman" w:cs="Times New Roman"/>
          <w:sz w:val="20"/>
          <w:szCs w:val="20"/>
          <w:rPrChange w:id="18" w:author="Spoustová Petra UEB" w:date="2020-01-02T10:38:00Z">
            <w:rPr>
              <w:rFonts w:ascii="Times New Roman" w:hAnsi="Times New Roman" w:cs="Times New Roman"/>
            </w:rPr>
          </w:rPrChange>
        </w:rPr>
        <w:t>), efficiency of PSII (F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19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v</w:t>
      </w:r>
      <w:r w:rsidRPr="002428DC">
        <w:rPr>
          <w:rFonts w:ascii="Times New Roman" w:hAnsi="Times New Roman" w:cs="Times New Roman"/>
          <w:sz w:val="20"/>
          <w:szCs w:val="20"/>
          <w:rPrChange w:id="20" w:author="Spoustová Petra UEB" w:date="2020-01-02T10:38:00Z">
            <w:rPr>
              <w:rFonts w:ascii="Times New Roman" w:hAnsi="Times New Roman" w:cs="Times New Roman"/>
            </w:rPr>
          </w:rPrChange>
        </w:rPr>
        <w:t>/F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21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m</w:t>
      </w:r>
      <w:r w:rsidRPr="002428DC">
        <w:rPr>
          <w:rFonts w:ascii="Times New Roman" w:hAnsi="Times New Roman" w:cs="Times New Roman"/>
          <w:sz w:val="20"/>
          <w:szCs w:val="20"/>
          <w:rPrChange w:id="22" w:author="Spoustová Petra UEB" w:date="2020-01-02T10:38:00Z">
            <w:rPr>
              <w:rFonts w:ascii="Times New Roman" w:hAnsi="Times New Roman" w:cs="Times New Roman"/>
            </w:rPr>
          </w:rPrChange>
        </w:rPr>
        <w:t>), performance index (PI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23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abs</w:t>
      </w:r>
      <w:r w:rsidRPr="002428DC">
        <w:rPr>
          <w:rFonts w:ascii="Times New Roman" w:hAnsi="Times New Roman" w:cs="Times New Roman"/>
          <w:sz w:val="20"/>
          <w:szCs w:val="20"/>
          <w:rPrChange w:id="24" w:author="Spoustová Petra UEB" w:date="2020-01-02T10:38:00Z">
            <w:rPr>
              <w:rFonts w:ascii="Times New Roman" w:hAnsi="Times New Roman" w:cs="Times New Roman"/>
            </w:rPr>
          </w:rPrChange>
        </w:rPr>
        <w:t>), specific leaf area (SLA), leaf dry matter content (LDMC), stomatal pore area index (SPI) and chlorophyll content (Chl). Above each graph, the statistical results are given as n.s.</w:t>
      </w:r>
      <w:r w:rsidRPr="002428DC">
        <w:rPr>
          <w:rFonts w:ascii="Times New Roman" w:hAnsi="Times New Roman" w:cs="Times New Roman"/>
          <w:sz w:val="20"/>
          <w:szCs w:val="20"/>
        </w:rPr>
        <w:t xml:space="preserve"> – </w:t>
      </w:r>
      <w:r w:rsidRPr="002428DC">
        <w:rPr>
          <w:rFonts w:ascii="Times New Roman" w:hAnsi="Times New Roman" w:cs="Times New Roman"/>
          <w:sz w:val="20"/>
          <w:szCs w:val="20"/>
          <w:rPrChange w:id="25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not significant, ‘·’ </w:t>
      </w:r>
      <w:r w:rsidRPr="002428DC">
        <w:rPr>
          <w:rFonts w:ascii="Times New Roman" w:hAnsi="Times New Roman" w:cs="Times New Roman"/>
          <w:sz w:val="20"/>
          <w:szCs w:val="20"/>
        </w:rPr>
        <w:t xml:space="preserve">– </w:t>
      </w:r>
      <w:r w:rsidRPr="002428DC">
        <w:rPr>
          <w:rFonts w:ascii="Times New Roman" w:hAnsi="Times New Roman" w:cs="Times New Roman"/>
          <w:i/>
          <w:sz w:val="20"/>
          <w:szCs w:val="20"/>
          <w:rPrChange w:id="26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p</w:t>
      </w:r>
      <w:r w:rsidRPr="002428DC">
        <w:rPr>
          <w:rFonts w:ascii="Times New Roman" w:hAnsi="Times New Roman" w:cs="Times New Roman"/>
          <w:sz w:val="20"/>
          <w:szCs w:val="20"/>
          <w:rPrChange w:id="27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&lt;0.1, ‘*’ </w:t>
      </w:r>
      <w:r w:rsidRPr="002428DC">
        <w:rPr>
          <w:rFonts w:ascii="Times New Roman" w:hAnsi="Times New Roman" w:cs="Times New Roman"/>
          <w:sz w:val="20"/>
          <w:szCs w:val="20"/>
        </w:rPr>
        <w:t>–</w:t>
      </w:r>
      <w:r w:rsidRPr="002428DC">
        <w:rPr>
          <w:rFonts w:ascii="Times New Roman" w:hAnsi="Times New Roman" w:cs="Times New Roman"/>
          <w:sz w:val="20"/>
          <w:szCs w:val="20"/>
          <w:rPrChange w:id="28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</w:t>
      </w:r>
      <w:r w:rsidRPr="002428DC">
        <w:rPr>
          <w:rFonts w:ascii="Times New Roman" w:hAnsi="Times New Roman" w:cs="Times New Roman"/>
          <w:i/>
          <w:sz w:val="20"/>
          <w:szCs w:val="20"/>
          <w:rPrChange w:id="29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p</w:t>
      </w:r>
      <w:r w:rsidRPr="002428DC">
        <w:rPr>
          <w:rFonts w:ascii="Times New Roman" w:hAnsi="Times New Roman" w:cs="Times New Roman"/>
          <w:sz w:val="20"/>
          <w:szCs w:val="20"/>
          <w:rPrChange w:id="30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&lt;0.05, ‘**’ </w:t>
      </w:r>
      <w:r w:rsidRPr="002428DC">
        <w:rPr>
          <w:rFonts w:ascii="Times New Roman" w:hAnsi="Times New Roman" w:cs="Times New Roman"/>
          <w:sz w:val="20"/>
          <w:szCs w:val="20"/>
        </w:rPr>
        <w:t>–</w:t>
      </w:r>
      <w:r w:rsidRPr="002428DC">
        <w:rPr>
          <w:rFonts w:ascii="Times New Roman" w:hAnsi="Times New Roman" w:cs="Times New Roman"/>
          <w:sz w:val="20"/>
          <w:szCs w:val="20"/>
          <w:rPrChange w:id="31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</w:t>
      </w:r>
      <w:r w:rsidRPr="002428DC">
        <w:rPr>
          <w:rFonts w:ascii="Times New Roman" w:hAnsi="Times New Roman" w:cs="Times New Roman"/>
          <w:i/>
          <w:sz w:val="20"/>
          <w:szCs w:val="20"/>
          <w:rPrChange w:id="32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p</w:t>
      </w:r>
      <w:r w:rsidRPr="002428DC">
        <w:rPr>
          <w:rFonts w:ascii="Times New Roman" w:hAnsi="Times New Roman" w:cs="Times New Roman"/>
          <w:sz w:val="20"/>
          <w:szCs w:val="20"/>
          <w:rPrChange w:id="33" w:author="Spoustová Petra UEB" w:date="2020-01-02T10:38:00Z">
            <w:rPr>
              <w:rFonts w:ascii="Times New Roman" w:hAnsi="Times New Roman" w:cs="Times New Roman"/>
            </w:rPr>
          </w:rPrChange>
        </w:rPr>
        <w:t>&lt;0.01</w:t>
      </w:r>
      <w:r w:rsidRPr="002428DC">
        <w:rPr>
          <w:rFonts w:ascii="Times New Roman" w:hAnsi="Times New Roman" w:cs="Times New Roman"/>
          <w:sz w:val="20"/>
          <w:szCs w:val="20"/>
        </w:rPr>
        <w:t>,</w:t>
      </w:r>
      <w:r w:rsidRPr="002428DC">
        <w:rPr>
          <w:rFonts w:ascii="Times New Roman" w:hAnsi="Times New Roman" w:cs="Times New Roman"/>
          <w:sz w:val="20"/>
          <w:szCs w:val="20"/>
          <w:rPrChange w:id="34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and ‘***’ </w:t>
      </w:r>
      <w:r w:rsidRPr="002428DC">
        <w:rPr>
          <w:rFonts w:ascii="Times New Roman" w:hAnsi="Times New Roman" w:cs="Times New Roman"/>
          <w:sz w:val="20"/>
          <w:szCs w:val="20"/>
        </w:rPr>
        <w:t>–</w:t>
      </w:r>
      <w:r w:rsidRPr="002428DC">
        <w:rPr>
          <w:rFonts w:ascii="Times New Roman" w:hAnsi="Times New Roman" w:cs="Times New Roman"/>
          <w:sz w:val="20"/>
          <w:szCs w:val="20"/>
          <w:rPrChange w:id="35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</w:t>
      </w:r>
      <w:r w:rsidRPr="002428DC">
        <w:rPr>
          <w:rFonts w:ascii="Times New Roman" w:hAnsi="Times New Roman" w:cs="Times New Roman"/>
          <w:i/>
          <w:sz w:val="20"/>
          <w:szCs w:val="20"/>
          <w:rPrChange w:id="36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p</w:t>
      </w:r>
      <w:r w:rsidRPr="002428DC">
        <w:rPr>
          <w:rFonts w:ascii="Times New Roman" w:hAnsi="Times New Roman" w:cs="Times New Roman"/>
          <w:sz w:val="20"/>
          <w:szCs w:val="20"/>
          <w:rPrChange w:id="37" w:author="Spoustová Petra UEB" w:date="2020-01-02T10:38:00Z">
            <w:rPr>
              <w:rFonts w:ascii="Times New Roman" w:hAnsi="Times New Roman" w:cs="Times New Roman"/>
            </w:rPr>
          </w:rPrChange>
        </w:rPr>
        <w:t>&lt;0.001.</w:t>
      </w:r>
    </w:p>
    <w:p w:rsidR="002428DC" w:rsidRPr="00190BDB" w:rsidRDefault="002428DC" w:rsidP="002428DC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  <w:rPrChange w:id="38" w:author="Spoustová Petra UEB" w:date="2020-01-02T10:38:00Z">
            <w:rPr>
              <w:rFonts w:ascii="Times New Roman" w:hAnsi="Times New Roman" w:cs="Times New Roman"/>
            </w:rPr>
          </w:rPrChange>
        </w:rPr>
      </w:pPr>
      <w:r w:rsidRPr="00190BDB">
        <w:rPr>
          <w:rFonts w:ascii="Times New Roman" w:hAnsi="Times New Roman" w:cs="Times New Roman"/>
          <w:sz w:val="18"/>
          <w:szCs w:val="18"/>
          <w:rPrChange w:id="39" w:author="Spoustová Petra UEB" w:date="2020-01-02T10:38:00Z">
            <w:rPr>
              <w:rFonts w:ascii="Times New Roman" w:hAnsi="Times New Roman" w:cs="Times New Roman"/>
            </w:rPr>
          </w:rPrChange>
        </w:rPr>
        <w:br w:type="page"/>
      </w:r>
    </w:p>
    <w:p w:rsidR="002428DC" w:rsidRPr="00190BDB" w:rsidRDefault="002428DC" w:rsidP="002428DC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  <w:rPrChange w:id="40" w:author="Spoustová Petra UEB" w:date="2020-01-02T10:38:00Z">
            <w:rPr>
              <w:rFonts w:ascii="Times New Roman" w:hAnsi="Times New Roman" w:cs="Times New Roman"/>
            </w:rPr>
          </w:rPrChange>
        </w:rPr>
      </w:pPr>
      <w:r w:rsidRPr="00190BDB">
        <w:rPr>
          <w:rFonts w:ascii="Times New Roman" w:hAnsi="Times New Roman" w:cs="Times New Roman"/>
          <w:noProof/>
          <w:sz w:val="18"/>
          <w:szCs w:val="18"/>
          <w:lang w:val="cs-CZ" w:eastAsia="cs-CZ"/>
          <w:rPrChange w:id="41" w:author="Spoustová Petra UEB" w:date="2020-01-02T10:38:00Z">
            <w:rPr>
              <w:rFonts w:ascii="Times New Roman" w:hAnsi="Times New Roman" w:cs="Times New Roman"/>
              <w:noProof/>
              <w:lang w:val="cs-CZ" w:eastAsia="cs-CZ"/>
            </w:rPr>
          </w:rPrChange>
        </w:rPr>
        <w:lastRenderedPageBreak/>
        <w:drawing>
          <wp:inline distT="0" distB="0" distL="0" distR="0" wp14:anchorId="306831AF" wp14:editId="2846D52D">
            <wp:extent cx="5940000" cy="5468400"/>
            <wp:effectExtent l="0" t="0" r="381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54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8DC" w:rsidRDefault="002428DC" w:rsidP="002428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428DC" w:rsidRPr="002428DC" w:rsidRDefault="002428DC" w:rsidP="002428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rPrChange w:id="42" w:author="Spoustová Petra UEB" w:date="2020-01-02T10:38:00Z">
            <w:rPr/>
          </w:rPrChange>
        </w:rPr>
      </w:pPr>
      <w:r w:rsidRPr="002428DC">
        <w:rPr>
          <w:rFonts w:ascii="Times New Roman" w:hAnsi="Times New Roman" w:cs="Times New Roman"/>
          <w:sz w:val="20"/>
          <w:szCs w:val="20"/>
        </w:rPr>
        <w:t>Fig.</w:t>
      </w:r>
      <w:r w:rsidRPr="002428DC">
        <w:rPr>
          <w:rFonts w:ascii="Times New Roman" w:hAnsi="Times New Roman" w:cs="Times New Roman"/>
          <w:sz w:val="20"/>
          <w:szCs w:val="20"/>
          <w:rPrChange w:id="43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2S</w:t>
      </w:r>
      <w:r w:rsidRPr="002428DC">
        <w:rPr>
          <w:rFonts w:ascii="Times New Roman" w:hAnsi="Times New Roman" w:cs="Times New Roman"/>
          <w:sz w:val="20"/>
          <w:szCs w:val="20"/>
        </w:rPr>
        <w:t>.</w:t>
      </w:r>
      <w:r w:rsidRPr="002428DC">
        <w:rPr>
          <w:rFonts w:ascii="Times New Roman" w:hAnsi="Times New Roman" w:cs="Times New Roman"/>
          <w:sz w:val="20"/>
          <w:szCs w:val="20"/>
          <w:rPrChange w:id="44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Pairwise relationships between all parameters measured. Species are represented by colour, the evergreen species </w:t>
      </w:r>
      <w:r w:rsidRPr="002428DC">
        <w:rPr>
          <w:rFonts w:ascii="Times New Roman" w:hAnsi="Times New Roman" w:cs="Times New Roman"/>
          <w:i/>
          <w:sz w:val="20"/>
          <w:szCs w:val="20"/>
          <w:rPrChange w:id="45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Berberis vulgaris</w:t>
      </w:r>
      <w:r w:rsidRPr="002428DC">
        <w:rPr>
          <w:rFonts w:ascii="Times New Roman" w:hAnsi="Times New Roman" w:cs="Times New Roman"/>
          <w:sz w:val="20"/>
          <w:szCs w:val="20"/>
          <w:rPrChange w:id="46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and </w:t>
      </w:r>
      <w:r w:rsidRPr="002428DC">
        <w:rPr>
          <w:rFonts w:ascii="Times New Roman" w:hAnsi="Times New Roman" w:cs="Times New Roman"/>
          <w:i/>
          <w:sz w:val="20"/>
          <w:szCs w:val="20"/>
          <w:rPrChange w:id="47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 xml:space="preserve">Quercus </w:t>
      </w:r>
      <w:r w:rsidRPr="002428DC">
        <w:rPr>
          <w:rFonts w:ascii="Times New Roman" w:hAnsi="Times New Roman" w:cs="Times New Roman"/>
          <w:sz w:val="20"/>
          <w:szCs w:val="20"/>
        </w:rPr>
        <w:t>×</w:t>
      </w:r>
      <w:r w:rsidRPr="002428DC">
        <w:rPr>
          <w:rFonts w:ascii="Times New Roman" w:hAnsi="Times New Roman" w:cs="Times New Roman"/>
          <w:sz w:val="20"/>
          <w:szCs w:val="20"/>
          <w:rPrChange w:id="48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</w:t>
      </w:r>
      <w:r w:rsidRPr="002428DC">
        <w:rPr>
          <w:rFonts w:ascii="Times New Roman" w:hAnsi="Times New Roman" w:cs="Times New Roman"/>
          <w:i/>
          <w:sz w:val="20"/>
          <w:szCs w:val="20"/>
          <w:rPrChange w:id="49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hispanica</w:t>
      </w:r>
      <w:r w:rsidRPr="002428DC">
        <w:rPr>
          <w:rFonts w:ascii="Times New Roman" w:hAnsi="Times New Roman" w:cs="Times New Roman"/>
          <w:sz w:val="20"/>
          <w:szCs w:val="20"/>
          <w:rPrChange w:id="50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are displayed in </w:t>
      </w:r>
      <w:r w:rsidRPr="002428DC">
        <w:rPr>
          <w:rFonts w:ascii="Times New Roman" w:hAnsi="Times New Roman" w:cs="Times New Roman"/>
          <w:i/>
          <w:sz w:val="20"/>
          <w:szCs w:val="20"/>
          <w:rPrChange w:id="51" w:author="Spoustová Petra UEB" w:date="2020-01-02T10:38:00Z">
            <w:rPr>
              <w:rFonts w:ascii="Times New Roman" w:hAnsi="Times New Roman" w:cs="Times New Roman"/>
            </w:rPr>
          </w:rPrChange>
        </w:rPr>
        <w:t>black circles</w:t>
      </w:r>
      <w:r w:rsidRPr="002428DC">
        <w:rPr>
          <w:rFonts w:ascii="Times New Roman" w:hAnsi="Times New Roman" w:cs="Times New Roman"/>
          <w:sz w:val="20"/>
          <w:szCs w:val="20"/>
          <w:rPrChange w:id="52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and </w:t>
      </w:r>
      <w:r w:rsidRPr="002428DC">
        <w:rPr>
          <w:rFonts w:ascii="Times New Roman" w:hAnsi="Times New Roman" w:cs="Times New Roman"/>
          <w:i/>
          <w:sz w:val="20"/>
          <w:szCs w:val="20"/>
          <w:rPrChange w:id="53" w:author="Spoustová Petra UEB" w:date="2020-01-02T10:38:00Z">
            <w:rPr>
              <w:rFonts w:ascii="Times New Roman" w:hAnsi="Times New Roman" w:cs="Times New Roman"/>
            </w:rPr>
          </w:rPrChange>
        </w:rPr>
        <w:t>dark grey squares</w:t>
      </w:r>
      <w:r w:rsidRPr="002428DC">
        <w:rPr>
          <w:rFonts w:ascii="Times New Roman" w:hAnsi="Times New Roman" w:cs="Times New Roman"/>
          <w:sz w:val="20"/>
          <w:szCs w:val="20"/>
          <w:rPrChange w:id="54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, respectively. The two summer green species are </w:t>
      </w:r>
      <w:r w:rsidRPr="002428DC">
        <w:rPr>
          <w:rFonts w:ascii="Times New Roman" w:hAnsi="Times New Roman" w:cs="Times New Roman"/>
          <w:i/>
          <w:sz w:val="20"/>
          <w:szCs w:val="20"/>
          <w:rPrChange w:id="55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Betula pendula</w:t>
      </w:r>
      <w:r w:rsidRPr="002428DC">
        <w:rPr>
          <w:rFonts w:ascii="Times New Roman" w:hAnsi="Times New Roman" w:cs="Times New Roman"/>
          <w:sz w:val="20"/>
          <w:szCs w:val="20"/>
          <w:rPrChange w:id="56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(</w:t>
      </w:r>
      <w:r w:rsidRPr="002428DC">
        <w:rPr>
          <w:rFonts w:ascii="Times New Roman" w:hAnsi="Times New Roman" w:cs="Times New Roman"/>
          <w:i/>
          <w:sz w:val="20"/>
          <w:szCs w:val="20"/>
          <w:rPrChange w:id="57" w:author="Spoustová Petra UEB" w:date="2020-01-02T10:38:00Z">
            <w:rPr>
              <w:rFonts w:ascii="Times New Roman" w:hAnsi="Times New Roman" w:cs="Times New Roman"/>
            </w:rPr>
          </w:rPrChange>
        </w:rPr>
        <w:t>pale grey triangles</w:t>
      </w:r>
      <w:r w:rsidRPr="002428DC">
        <w:rPr>
          <w:rFonts w:ascii="Times New Roman" w:hAnsi="Times New Roman" w:cs="Times New Roman"/>
          <w:sz w:val="20"/>
          <w:szCs w:val="20"/>
          <w:rPrChange w:id="58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) and </w:t>
      </w:r>
      <w:r w:rsidRPr="002428DC">
        <w:rPr>
          <w:rFonts w:ascii="Times New Roman" w:hAnsi="Times New Roman" w:cs="Times New Roman"/>
          <w:i/>
          <w:sz w:val="20"/>
          <w:szCs w:val="20"/>
          <w:rPrChange w:id="59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Q. pubescens</w:t>
      </w:r>
      <w:r w:rsidRPr="002428DC">
        <w:rPr>
          <w:rFonts w:ascii="Times New Roman" w:hAnsi="Times New Roman" w:cs="Times New Roman"/>
          <w:sz w:val="20"/>
          <w:szCs w:val="20"/>
          <w:rPrChange w:id="60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(</w:t>
      </w:r>
      <w:r w:rsidRPr="002428DC">
        <w:rPr>
          <w:rFonts w:ascii="Times New Roman" w:hAnsi="Times New Roman" w:cs="Times New Roman"/>
          <w:i/>
          <w:sz w:val="20"/>
          <w:szCs w:val="20"/>
          <w:rPrChange w:id="61" w:author="Spoustová Petra UEB" w:date="2020-01-02T10:38:00Z">
            <w:rPr>
              <w:rFonts w:ascii="Times New Roman" w:hAnsi="Times New Roman" w:cs="Times New Roman"/>
            </w:rPr>
          </w:rPrChange>
        </w:rPr>
        <w:t>light grey diamonds</w:t>
      </w:r>
      <w:r w:rsidRPr="002428DC">
        <w:rPr>
          <w:rFonts w:ascii="Times New Roman" w:hAnsi="Times New Roman" w:cs="Times New Roman"/>
          <w:sz w:val="20"/>
          <w:szCs w:val="20"/>
          <w:rPrChange w:id="62" w:author="Spoustová Petra UEB" w:date="2020-01-02T10:38:00Z">
            <w:rPr>
              <w:rFonts w:ascii="Times New Roman" w:hAnsi="Times New Roman" w:cs="Times New Roman"/>
            </w:rPr>
          </w:rPrChange>
        </w:rPr>
        <w:t>). Leaves, which were visually newly formed and not fully grown are indicated by open symbols. Given is the frost resistance measured as effective percentage of electrolyte leakage</w:t>
      </w:r>
      <w:r w:rsidRPr="002428DC">
        <w:rPr>
          <w:rFonts w:ascii="Times New Roman" w:hAnsi="Times New Roman" w:cs="Times New Roman"/>
          <w:sz w:val="20"/>
          <w:szCs w:val="20"/>
          <w:rPrChange w:id="63" w:author="Spoustová Petra UEB" w:date="2020-01-02T10:38:00Z">
            <w:rPr>
              <w:rFonts w:ascii="Times New Roman" w:hAnsi="Times New Roman" w:cs="Times New Roman"/>
              <w:sz w:val="18"/>
              <w:szCs w:val="18"/>
            </w:rPr>
          </w:rPrChange>
        </w:rPr>
        <w:t xml:space="preserve"> (PEL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64" w:author="Spoustová Petra UEB" w:date="2020-01-02T10:38:00Z">
            <w:rPr>
              <w:rFonts w:ascii="Times New Roman" w:hAnsi="Times New Roman" w:cs="Times New Roman"/>
              <w:sz w:val="18"/>
              <w:szCs w:val="18"/>
              <w:vertAlign w:val="subscript"/>
            </w:rPr>
          </w:rPrChange>
        </w:rPr>
        <w:t>eff</w:t>
      </w:r>
      <w:r w:rsidRPr="002428DC">
        <w:rPr>
          <w:rFonts w:ascii="Times New Roman" w:hAnsi="Times New Roman" w:cs="Times New Roman"/>
          <w:sz w:val="20"/>
          <w:szCs w:val="20"/>
          <w:rPrChange w:id="65" w:author="Spoustová Petra UEB" w:date="2020-01-02T10:38:00Z">
            <w:rPr>
              <w:rFonts w:ascii="Times New Roman" w:hAnsi="Times New Roman" w:cs="Times New Roman"/>
              <w:sz w:val="18"/>
              <w:szCs w:val="18"/>
            </w:rPr>
          </w:rPrChange>
        </w:rPr>
        <w:t xml:space="preserve">), the </w:t>
      </w:r>
      <w:r w:rsidRPr="002428DC">
        <w:rPr>
          <w:rFonts w:ascii="Times New Roman" w:hAnsi="Times New Roman" w:cs="Times New Roman"/>
          <w:sz w:val="20"/>
          <w:szCs w:val="20"/>
          <w:rPrChange w:id="66" w:author="Spoustová Petra UEB" w:date="2020-01-02T10:38:00Z">
            <w:rPr>
              <w:rFonts w:ascii="Times New Roman" w:hAnsi="Times New Roman" w:cs="Times New Roman"/>
            </w:rPr>
          </w:rPrChange>
        </w:rPr>
        <w:t>net photosynthetic rate at saturating irradiance and ambient atmospheric CO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67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2</w:t>
      </w:r>
      <w:r w:rsidRPr="002428DC">
        <w:rPr>
          <w:rFonts w:ascii="Times New Roman" w:hAnsi="Times New Roman" w:cs="Times New Roman"/>
          <w:sz w:val="20"/>
          <w:szCs w:val="20"/>
          <w:rPrChange w:id="68" w:author="Spoustová Petra UEB" w:date="2020-01-02T10:38:00Z">
            <w:rPr>
              <w:rFonts w:ascii="Times New Roman" w:hAnsi="Times New Roman" w:cs="Times New Roman"/>
            </w:rPr>
          </w:rPrChange>
        </w:rPr>
        <w:t xml:space="preserve"> concentrations (</w:t>
      </w:r>
      <w:r w:rsidRPr="002428DC">
        <w:rPr>
          <w:rFonts w:ascii="Times New Roman" w:hAnsi="Times New Roman" w:cs="Times New Roman"/>
          <w:i/>
          <w:sz w:val="20"/>
          <w:szCs w:val="20"/>
          <w:rPrChange w:id="69" w:author="Spoustová Petra UEB" w:date="2020-01-02T10:38:00Z">
            <w:rPr>
              <w:rFonts w:ascii="Times New Roman" w:hAnsi="Times New Roman" w:cs="Times New Roman"/>
              <w:i/>
            </w:rPr>
          </w:rPrChange>
        </w:rPr>
        <w:t>P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70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Nsat</w:t>
      </w:r>
      <w:r w:rsidRPr="002428DC">
        <w:rPr>
          <w:rFonts w:ascii="Times New Roman" w:hAnsi="Times New Roman" w:cs="Times New Roman"/>
          <w:sz w:val="20"/>
          <w:szCs w:val="20"/>
          <w:rPrChange w:id="71" w:author="Spoustová Petra UEB" w:date="2020-01-02T10:38:00Z">
            <w:rPr>
              <w:rFonts w:ascii="Times New Roman" w:hAnsi="Times New Roman" w:cs="Times New Roman"/>
            </w:rPr>
          </w:rPrChange>
        </w:rPr>
        <w:t>), the maximum carboxylat</w:t>
      </w:r>
      <w:bookmarkStart w:id="72" w:name="_GoBack"/>
      <w:bookmarkEnd w:id="72"/>
      <w:r w:rsidRPr="002428DC">
        <w:rPr>
          <w:rFonts w:ascii="Times New Roman" w:hAnsi="Times New Roman" w:cs="Times New Roman"/>
          <w:sz w:val="20"/>
          <w:szCs w:val="20"/>
          <w:rPrChange w:id="73" w:author="Spoustová Petra UEB" w:date="2020-01-02T10:38:00Z">
            <w:rPr>
              <w:rFonts w:ascii="Times New Roman" w:hAnsi="Times New Roman" w:cs="Times New Roman"/>
            </w:rPr>
          </w:rPrChange>
        </w:rPr>
        <w:t>ion rate (V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74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cmax</w:t>
      </w:r>
      <w:r w:rsidRPr="002428DC">
        <w:rPr>
          <w:rFonts w:ascii="Times New Roman" w:hAnsi="Times New Roman" w:cs="Times New Roman"/>
          <w:sz w:val="20"/>
          <w:szCs w:val="20"/>
          <w:rPrChange w:id="75" w:author="Spoustová Petra UEB" w:date="2020-01-02T10:38:00Z">
            <w:rPr>
              <w:rFonts w:ascii="Times New Roman" w:hAnsi="Times New Roman" w:cs="Times New Roman"/>
            </w:rPr>
          </w:rPrChange>
        </w:rPr>
        <w:t>), the maximum quantum yield of PSII (F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76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v</w:t>
      </w:r>
      <w:r w:rsidRPr="002428DC">
        <w:rPr>
          <w:rFonts w:ascii="Times New Roman" w:hAnsi="Times New Roman" w:cs="Times New Roman"/>
          <w:sz w:val="20"/>
          <w:szCs w:val="20"/>
          <w:rPrChange w:id="77" w:author="Spoustová Petra UEB" w:date="2020-01-02T10:38:00Z">
            <w:rPr>
              <w:rFonts w:ascii="Times New Roman" w:hAnsi="Times New Roman" w:cs="Times New Roman"/>
            </w:rPr>
          </w:rPrChange>
        </w:rPr>
        <w:t>/F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78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m</w:t>
      </w:r>
      <w:r w:rsidRPr="002428DC">
        <w:rPr>
          <w:rFonts w:ascii="Times New Roman" w:hAnsi="Times New Roman" w:cs="Times New Roman"/>
          <w:sz w:val="20"/>
          <w:szCs w:val="20"/>
          <w:rPrChange w:id="79" w:author="Spoustová Petra UEB" w:date="2020-01-02T10:38:00Z">
            <w:rPr>
              <w:rFonts w:ascii="Times New Roman" w:hAnsi="Times New Roman" w:cs="Times New Roman"/>
            </w:rPr>
          </w:rPrChange>
        </w:rPr>
        <w:t>), the absorption based performance index (PI</w:t>
      </w:r>
      <w:r w:rsidRPr="002428DC">
        <w:rPr>
          <w:rFonts w:ascii="Times New Roman" w:hAnsi="Times New Roman" w:cs="Times New Roman"/>
          <w:sz w:val="20"/>
          <w:szCs w:val="20"/>
          <w:vertAlign w:val="subscript"/>
          <w:rPrChange w:id="80" w:author="Spoustová Petra UEB" w:date="2020-01-02T10:38:00Z">
            <w:rPr>
              <w:rFonts w:ascii="Times New Roman" w:hAnsi="Times New Roman" w:cs="Times New Roman"/>
              <w:vertAlign w:val="subscript"/>
            </w:rPr>
          </w:rPrChange>
        </w:rPr>
        <w:t>abs</w:t>
      </w:r>
      <w:r w:rsidRPr="002428DC">
        <w:rPr>
          <w:rFonts w:ascii="Times New Roman" w:hAnsi="Times New Roman" w:cs="Times New Roman"/>
          <w:sz w:val="20"/>
          <w:szCs w:val="20"/>
          <w:rPrChange w:id="81" w:author="Spoustová Petra UEB" w:date="2020-01-02T10:38:00Z">
            <w:rPr>
              <w:rFonts w:ascii="Times New Roman" w:hAnsi="Times New Roman" w:cs="Times New Roman"/>
            </w:rPr>
          </w:rPrChange>
        </w:rPr>
        <w:t>), the specific leaf area (SLA), the leaf dry matter content (LDMC), the stomatal pore area index (SPI)</w:t>
      </w:r>
      <w:r w:rsidRPr="002428DC">
        <w:rPr>
          <w:rFonts w:ascii="Times New Roman" w:hAnsi="Times New Roman" w:cs="Times New Roman"/>
          <w:sz w:val="20"/>
          <w:szCs w:val="20"/>
        </w:rPr>
        <w:t>,</w:t>
      </w:r>
      <w:r w:rsidRPr="002428DC">
        <w:rPr>
          <w:rFonts w:ascii="Times New Roman" w:hAnsi="Times New Roman" w:cs="Times New Roman"/>
          <w:sz w:val="20"/>
          <w:szCs w:val="20"/>
        </w:rPr>
        <w:t xml:space="preserve"> </w:t>
      </w:r>
      <w:r w:rsidRPr="002428DC">
        <w:rPr>
          <w:rFonts w:ascii="Times New Roman" w:hAnsi="Times New Roman" w:cs="Times New Roman"/>
          <w:sz w:val="20"/>
          <w:szCs w:val="20"/>
          <w:rPrChange w:id="82" w:author="Spoustová Petra UEB" w:date="2020-01-02T10:38:00Z">
            <w:rPr>
              <w:rFonts w:ascii="Times New Roman" w:hAnsi="Times New Roman" w:cs="Times New Roman"/>
            </w:rPr>
          </w:rPrChange>
        </w:rPr>
        <w:t>as well as the chlorophyll content (Chl). Lines represent linear regressions as based on the minimum adequate model.</w:t>
      </w:r>
    </w:p>
    <w:p w:rsidR="002428DC" w:rsidRPr="00190BDB" w:rsidRDefault="002428DC" w:rsidP="002428DC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607E89" w:rsidRDefault="002428DC"/>
    <w:sectPr w:rsidR="00607E89" w:rsidSect="000B6977">
      <w:pgSz w:w="11906" w:h="16838"/>
      <w:pgMar w:top="1417" w:right="1417" w:bottom="1134" w:left="1417" w:header="708" w:footer="708" w:gutter="0"/>
      <w:lnNumType w:countBy="1" w:restart="continuous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oustová Petra UEB">
    <w15:presenceInfo w15:providerId="None" w15:userId="Spoustová Petra U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54"/>
    <w:rsid w:val="002428DC"/>
    <w:rsid w:val="003479DF"/>
    <w:rsid w:val="003B4330"/>
    <w:rsid w:val="00C6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44DA"/>
  <w15:chartTrackingRefBased/>
  <w15:docId w15:val="{155A1E54-1FEB-4F2F-B068-566A3A72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8DC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24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Spoustová Petra UEB</dc:creator>
  <cp:keywords/>
  <dc:description/>
  <cp:lastModifiedBy>Spoustová Petra UEB</cp:lastModifiedBy>
  <cp:revision>2</cp:revision>
  <dcterms:created xsi:type="dcterms:W3CDTF">2020-01-02T15:28:00Z</dcterms:created>
  <dcterms:modified xsi:type="dcterms:W3CDTF">2020-01-02T15:31:00Z</dcterms:modified>
</cp:coreProperties>
</file>