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81707" w14:textId="501198F9" w:rsidR="00970F33" w:rsidRPr="00C557C1" w:rsidRDefault="00970F33" w:rsidP="00B2281A">
      <w:pPr>
        <w:pStyle w:val="MDPI31text"/>
        <w:ind w:firstLine="0"/>
        <w:rPr>
          <w:rFonts w:ascii="Times New Roman" w:eastAsia="Arial Unicode MS" w:hAnsi="Times New Roman"/>
          <w:szCs w:val="20"/>
        </w:rPr>
      </w:pPr>
      <w:r w:rsidRPr="00C557C1">
        <w:rPr>
          <w:rFonts w:ascii="Times New Roman" w:hAnsi="Times New Roman"/>
          <w:szCs w:val="20"/>
        </w:rPr>
        <w:t>Table 1S. Correlative relationships between chlorophyll fluorescence</w:t>
      </w:r>
      <w:r w:rsidRPr="00C557C1" w:rsidDel="00835288">
        <w:rPr>
          <w:rFonts w:ascii="Times New Roman" w:hAnsi="Times New Roman"/>
          <w:szCs w:val="20"/>
        </w:rPr>
        <w:t xml:space="preserve"> </w:t>
      </w:r>
      <w:r w:rsidRPr="00C557C1">
        <w:rPr>
          <w:rFonts w:ascii="Times New Roman" w:hAnsi="Times New Roman"/>
          <w:szCs w:val="20"/>
        </w:rPr>
        <w:t>parameters and elements of productivity of wheat species and interspecific hybrids at various plant growth stages</w:t>
      </w:r>
      <w:r w:rsidRPr="00C557C1">
        <w:rPr>
          <w:rFonts w:ascii="Times New Roman" w:hAnsi="Times New Roman"/>
          <w:szCs w:val="20"/>
          <w:lang w:val="en-GB"/>
        </w:rPr>
        <w:t xml:space="preserve">. </w:t>
      </w:r>
      <w:r w:rsidRPr="00C557C1">
        <w:rPr>
          <w:rFonts w:ascii="Times New Roman" w:hAnsi="Times New Roman"/>
          <w:szCs w:val="20"/>
        </w:rPr>
        <w:t xml:space="preserve">α – initial slope of rapid light curve; </w:t>
      </w:r>
      <w:proofErr w:type="spellStart"/>
      <w:r w:rsidRPr="00C557C1">
        <w:rPr>
          <w:szCs w:val="20"/>
        </w:rPr>
        <w:t>ETR</w:t>
      </w:r>
      <w:r w:rsidRPr="00C557C1">
        <w:rPr>
          <w:szCs w:val="20"/>
          <w:vertAlign w:val="subscript"/>
        </w:rPr>
        <w:t>max</w:t>
      </w:r>
      <w:proofErr w:type="spellEnd"/>
      <w:r w:rsidRPr="00C557C1">
        <w:rPr>
          <w:rFonts w:ascii="Times New Roman" w:hAnsi="Times New Roman"/>
          <w:szCs w:val="20"/>
        </w:rPr>
        <w:t xml:space="preserve"> – PSII maximum electron transport rate; </w:t>
      </w:r>
      <w:proofErr w:type="spellStart"/>
      <w:r w:rsidRPr="00C557C1">
        <w:rPr>
          <w:rFonts w:ascii="Times New Roman" w:hAnsi="Times New Roman"/>
          <w:szCs w:val="20"/>
        </w:rPr>
        <w:t>E</w:t>
      </w:r>
      <w:r w:rsidRPr="00C557C1">
        <w:rPr>
          <w:rFonts w:ascii="Times New Roman" w:hAnsi="Times New Roman"/>
          <w:szCs w:val="20"/>
          <w:vertAlign w:val="subscript"/>
        </w:rPr>
        <w:t>k</w:t>
      </w:r>
      <w:proofErr w:type="spellEnd"/>
      <w:r w:rsidRPr="00C557C1">
        <w:rPr>
          <w:rFonts w:ascii="Times New Roman" w:hAnsi="Times New Roman"/>
          <w:szCs w:val="20"/>
        </w:rPr>
        <w:t xml:space="preserve"> – minimum saturation irradiance; Y(II)</w:t>
      </w:r>
      <w:r w:rsidRPr="00C557C1">
        <w:rPr>
          <w:rFonts w:ascii="Times New Roman" w:hAnsi="Times New Roman"/>
          <w:szCs w:val="20"/>
          <w:vertAlign w:val="subscript"/>
        </w:rPr>
        <w:t>65</w:t>
      </w:r>
      <w:r w:rsidRPr="00C557C1">
        <w:rPr>
          <w:rFonts w:ascii="Times New Roman" w:hAnsi="Times New Roman"/>
          <w:szCs w:val="20"/>
        </w:rPr>
        <w:t>, Y(II)</w:t>
      </w:r>
      <w:r w:rsidRPr="00C557C1">
        <w:rPr>
          <w:rFonts w:ascii="Times New Roman" w:hAnsi="Times New Roman"/>
          <w:szCs w:val="20"/>
          <w:vertAlign w:val="subscript"/>
        </w:rPr>
        <w:t>625</w:t>
      </w:r>
      <w:r w:rsidRPr="00C557C1">
        <w:rPr>
          <w:rFonts w:ascii="Times New Roman" w:hAnsi="Times New Roman"/>
          <w:szCs w:val="20"/>
        </w:rPr>
        <w:t xml:space="preserve"> – effective photochemical quantum yield of PSII; Y(NPQ)</w:t>
      </w:r>
      <w:r w:rsidRPr="00C557C1">
        <w:rPr>
          <w:rFonts w:ascii="Times New Roman" w:hAnsi="Times New Roman"/>
          <w:szCs w:val="20"/>
          <w:vertAlign w:val="subscript"/>
        </w:rPr>
        <w:t>65</w:t>
      </w:r>
      <w:r w:rsidRPr="00C557C1">
        <w:rPr>
          <w:rFonts w:ascii="Times New Roman" w:hAnsi="Times New Roman"/>
          <w:szCs w:val="20"/>
        </w:rPr>
        <w:t>, Y(NPQ)</w:t>
      </w:r>
      <w:r w:rsidRPr="00C557C1">
        <w:rPr>
          <w:rFonts w:ascii="Times New Roman" w:hAnsi="Times New Roman"/>
          <w:szCs w:val="20"/>
          <w:vertAlign w:val="subscript"/>
        </w:rPr>
        <w:t xml:space="preserve">625 </w:t>
      </w:r>
      <w:r w:rsidRPr="00C557C1">
        <w:rPr>
          <w:rFonts w:ascii="Times New Roman" w:hAnsi="Times New Roman"/>
          <w:szCs w:val="20"/>
        </w:rPr>
        <w:t>– quantum yield of nonphotochemical energy conversion in PSII due to downregulation of the light-harvesting function; Y(NO)</w:t>
      </w:r>
      <w:r w:rsidRPr="00C557C1">
        <w:rPr>
          <w:rFonts w:ascii="Times New Roman" w:hAnsi="Times New Roman"/>
          <w:szCs w:val="20"/>
          <w:vertAlign w:val="subscript"/>
        </w:rPr>
        <w:t>65</w:t>
      </w:r>
      <w:r w:rsidRPr="00C557C1">
        <w:rPr>
          <w:rFonts w:ascii="Times New Roman" w:hAnsi="Times New Roman"/>
          <w:szCs w:val="20"/>
        </w:rPr>
        <w:t>, Y(NO)</w:t>
      </w:r>
      <w:r w:rsidRPr="00C557C1">
        <w:rPr>
          <w:rFonts w:ascii="Times New Roman" w:hAnsi="Times New Roman"/>
          <w:szCs w:val="20"/>
          <w:vertAlign w:val="subscript"/>
        </w:rPr>
        <w:t>625</w:t>
      </w:r>
      <w:r w:rsidRPr="00C557C1">
        <w:rPr>
          <w:rFonts w:ascii="Times New Roman" w:hAnsi="Times New Roman"/>
          <w:szCs w:val="20"/>
        </w:rPr>
        <w:t xml:space="preserve"> – quantum yield of nonphotochemical energy conversion in PSII other than that caused by downregulation of the light-harvesting function at PPFD 65 µmol m</w:t>
      </w:r>
      <w:r w:rsidRPr="00C557C1">
        <w:rPr>
          <w:szCs w:val="20"/>
          <w:vertAlign w:val="superscript"/>
        </w:rPr>
        <w:t>–</w:t>
      </w:r>
      <w:r w:rsidRPr="00C557C1">
        <w:rPr>
          <w:rFonts w:ascii="Times New Roman" w:hAnsi="Times New Roman"/>
          <w:szCs w:val="20"/>
          <w:vertAlign w:val="superscript"/>
        </w:rPr>
        <w:t>2</w:t>
      </w:r>
      <w:r w:rsidRPr="00C557C1">
        <w:rPr>
          <w:rFonts w:ascii="Times New Roman" w:hAnsi="Times New Roman"/>
          <w:szCs w:val="20"/>
        </w:rPr>
        <w:t xml:space="preserve"> s</w:t>
      </w:r>
      <w:r w:rsidRPr="00C557C1">
        <w:rPr>
          <w:szCs w:val="20"/>
          <w:vertAlign w:val="superscript"/>
        </w:rPr>
        <w:t>–</w:t>
      </w:r>
      <w:r w:rsidRPr="00C557C1">
        <w:rPr>
          <w:rFonts w:ascii="Times New Roman" w:hAnsi="Times New Roman"/>
          <w:szCs w:val="20"/>
          <w:vertAlign w:val="superscript"/>
        </w:rPr>
        <w:t>1</w:t>
      </w:r>
      <w:r w:rsidRPr="00C557C1">
        <w:rPr>
          <w:rFonts w:ascii="Times New Roman" w:hAnsi="Times New Roman"/>
          <w:szCs w:val="20"/>
        </w:rPr>
        <w:t xml:space="preserve"> and 625 µmol m</w:t>
      </w:r>
      <w:r w:rsidRPr="00C557C1">
        <w:rPr>
          <w:szCs w:val="20"/>
          <w:vertAlign w:val="superscript"/>
        </w:rPr>
        <w:t>–</w:t>
      </w:r>
      <w:r w:rsidRPr="00C557C1">
        <w:rPr>
          <w:rFonts w:ascii="Times New Roman" w:hAnsi="Times New Roman"/>
          <w:szCs w:val="20"/>
          <w:vertAlign w:val="superscript"/>
        </w:rPr>
        <w:t>2</w:t>
      </w:r>
      <w:r w:rsidRPr="00C557C1">
        <w:rPr>
          <w:rFonts w:ascii="Times New Roman" w:hAnsi="Times New Roman"/>
          <w:szCs w:val="20"/>
        </w:rPr>
        <w:t xml:space="preserve"> s</w:t>
      </w:r>
      <w:r w:rsidRPr="00C557C1">
        <w:rPr>
          <w:szCs w:val="20"/>
          <w:vertAlign w:val="superscript"/>
        </w:rPr>
        <w:t>–</w:t>
      </w:r>
      <w:r w:rsidRPr="00C557C1">
        <w:rPr>
          <w:rFonts w:ascii="Times New Roman" w:hAnsi="Times New Roman"/>
          <w:szCs w:val="20"/>
          <w:vertAlign w:val="superscript"/>
        </w:rPr>
        <w:t>1</w:t>
      </w:r>
      <w:r w:rsidRPr="00B2281A">
        <w:rPr>
          <w:rFonts w:ascii="Times New Roman" w:hAnsi="Times New Roman"/>
          <w:szCs w:val="20"/>
        </w:rPr>
        <w:t xml:space="preserve"> </w:t>
      </w:r>
      <w:r w:rsidRPr="00C557C1">
        <w:rPr>
          <w:szCs w:val="20"/>
        </w:rPr>
        <w:t xml:space="preserve">at rapid light curve. </w:t>
      </w:r>
      <w:r w:rsidRPr="00C557C1">
        <w:rPr>
          <w:rFonts w:ascii="Times New Roman" w:eastAsia="Arial Unicode MS" w:hAnsi="Times New Roman"/>
          <w:szCs w:val="20"/>
        </w:rPr>
        <w:t>Correlation is</w:t>
      </w:r>
      <w:r w:rsidRPr="00C557C1">
        <w:rPr>
          <w:rFonts w:ascii="Times New Roman" w:eastAsia="Arial Unicode MS" w:hAnsi="Times New Roman"/>
          <w:szCs w:val="20"/>
          <w:lang w:val="kk-KZ"/>
        </w:rPr>
        <w:t xml:space="preserve"> significant at</w:t>
      </w:r>
      <w:r w:rsidRPr="00C557C1">
        <w:rPr>
          <w:rFonts w:ascii="Times New Roman" w:eastAsia="Arial Unicode MS" w:hAnsi="Times New Roman"/>
          <w:szCs w:val="20"/>
        </w:rPr>
        <w:t xml:space="preserve"> * </w:t>
      </w:r>
      <w:r w:rsidRPr="00C557C1">
        <w:rPr>
          <w:rFonts w:ascii="Times New Roman" w:hAnsi="Times New Roman"/>
          <w:szCs w:val="20"/>
        </w:rPr>
        <w:t xml:space="preserve">– </w:t>
      </w:r>
      <w:r w:rsidRPr="00C557C1">
        <w:rPr>
          <w:rFonts w:ascii="Times New Roman" w:eastAsia="Arial Unicode MS" w:hAnsi="Times New Roman"/>
          <w:i/>
          <w:szCs w:val="20"/>
          <w:lang w:val="kk-KZ"/>
        </w:rPr>
        <w:t>p</w:t>
      </w:r>
      <w:r w:rsidRPr="00C557C1">
        <w:rPr>
          <w:rFonts w:ascii="Times New Roman" w:eastAsia="Arial Unicode MS" w:hAnsi="Times New Roman"/>
          <w:szCs w:val="20"/>
          <w:lang w:val="kk-KZ"/>
        </w:rPr>
        <w:t>≤0.05</w:t>
      </w:r>
      <w:r w:rsidRPr="00C557C1">
        <w:rPr>
          <w:rFonts w:ascii="Times New Roman" w:eastAsia="Arial Unicode MS" w:hAnsi="Times New Roman"/>
          <w:szCs w:val="20"/>
        </w:rPr>
        <w:t xml:space="preserve"> and ** </w:t>
      </w:r>
      <w:r w:rsidRPr="00C557C1">
        <w:rPr>
          <w:rFonts w:ascii="Times New Roman" w:hAnsi="Times New Roman"/>
          <w:szCs w:val="20"/>
        </w:rPr>
        <w:t xml:space="preserve">– </w:t>
      </w:r>
      <w:r w:rsidRPr="00C557C1">
        <w:rPr>
          <w:rFonts w:ascii="Times New Roman" w:eastAsia="Arial Unicode MS" w:hAnsi="Times New Roman"/>
          <w:i/>
          <w:szCs w:val="20"/>
          <w:lang w:val="kk-KZ"/>
        </w:rPr>
        <w:t>p</w:t>
      </w:r>
      <w:r w:rsidRPr="00C557C1">
        <w:rPr>
          <w:rFonts w:ascii="Times New Roman" w:eastAsia="Arial Unicode MS" w:hAnsi="Times New Roman"/>
          <w:szCs w:val="20"/>
          <w:lang w:val="kk-KZ"/>
        </w:rPr>
        <w:t>≤0.0</w:t>
      </w:r>
      <w:r w:rsidRPr="00C557C1">
        <w:rPr>
          <w:rFonts w:ascii="Times New Roman" w:eastAsia="Arial Unicode MS" w:hAnsi="Times New Roman"/>
          <w:szCs w:val="20"/>
        </w:rPr>
        <w:t>1</w:t>
      </w:r>
      <w:r w:rsidR="00B2281A">
        <w:rPr>
          <w:rFonts w:ascii="Times New Roman" w:eastAsia="Arial Unicode MS" w:hAnsi="Times New Roman"/>
          <w:szCs w:val="20"/>
        </w:rPr>
        <w:t>.</w:t>
      </w:r>
      <w:r w:rsidRPr="00C557C1">
        <w:rPr>
          <w:rFonts w:ascii="Times New Roman" w:eastAsia="Arial Unicode MS" w:hAnsi="Times New Roman"/>
          <w:szCs w:val="20"/>
        </w:rPr>
        <w:t xml:space="preserve"> </w:t>
      </w:r>
    </w:p>
    <w:p w14:paraId="15C8497A" w14:textId="77777777" w:rsidR="00970F33" w:rsidRPr="00C557C1" w:rsidRDefault="00970F33" w:rsidP="00970F33">
      <w:pPr>
        <w:spacing w:after="0" w:line="360" w:lineRule="auto"/>
        <w:jc w:val="both"/>
        <w:rPr>
          <w:sz w:val="20"/>
          <w:szCs w:val="20"/>
        </w:rPr>
      </w:pPr>
    </w:p>
    <w:tbl>
      <w:tblPr>
        <w:tblW w:w="5000" w:type="pct"/>
        <w:tblBorders>
          <w:top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4"/>
        <w:gridCol w:w="1800"/>
        <w:gridCol w:w="1099"/>
        <w:gridCol w:w="1544"/>
        <w:gridCol w:w="1388"/>
        <w:gridCol w:w="1367"/>
        <w:gridCol w:w="1226"/>
      </w:tblGrid>
      <w:tr w:rsidR="00970F33" w:rsidRPr="00C557C1" w14:paraId="543AF98F" w14:textId="77777777" w:rsidTr="00B2281A">
        <w:trPr>
          <w:trHeight w:val="85"/>
        </w:trPr>
        <w:tc>
          <w:tcPr>
            <w:tcW w:w="630" w:type="pct"/>
            <w:vMerge w:val="restart"/>
            <w:tcBorders>
              <w:top w:val="single" w:sz="4" w:space="0" w:color="auto"/>
              <w:left w:val="nil"/>
              <w:bottom w:val="single" w:sz="4" w:space="0" w:color="auto"/>
              <w:right w:val="nil"/>
            </w:tcBorders>
            <w:hideMark/>
          </w:tcPr>
          <w:p w14:paraId="3FB7904E" w14:textId="77777777" w:rsidR="00970F33" w:rsidRPr="00C557C1" w:rsidRDefault="00970F33" w:rsidP="00B2281A">
            <w:pPr>
              <w:spacing w:line="260" w:lineRule="atLeast"/>
              <w:rPr>
                <w:rFonts w:eastAsia="Times New Roman"/>
                <w:sz w:val="20"/>
                <w:szCs w:val="20"/>
                <w:lang w:eastAsia="ru-RU"/>
              </w:rPr>
            </w:pPr>
            <w:r w:rsidRPr="00C557C1">
              <w:rPr>
                <w:rFonts w:eastAsia="Times New Roman"/>
                <w:sz w:val="20"/>
                <w:szCs w:val="20"/>
                <w:lang w:eastAsia="ru-RU"/>
              </w:rPr>
              <w:t>Growth stage</w:t>
            </w:r>
          </w:p>
        </w:tc>
        <w:tc>
          <w:tcPr>
            <w:tcW w:w="934" w:type="pct"/>
            <w:vMerge w:val="restart"/>
            <w:tcBorders>
              <w:top w:val="single" w:sz="4" w:space="0" w:color="auto"/>
              <w:left w:val="nil"/>
              <w:bottom w:val="single" w:sz="4" w:space="0" w:color="auto"/>
              <w:right w:val="nil"/>
            </w:tcBorders>
            <w:noWrap/>
            <w:hideMark/>
          </w:tcPr>
          <w:p w14:paraId="0027E904" w14:textId="77777777" w:rsidR="00970F33" w:rsidRPr="00C557C1" w:rsidRDefault="00970F33" w:rsidP="00B2281A">
            <w:pPr>
              <w:spacing w:line="260" w:lineRule="atLeast"/>
              <w:rPr>
                <w:rFonts w:eastAsia="Times New Roman"/>
                <w:sz w:val="20"/>
                <w:szCs w:val="20"/>
                <w:lang w:eastAsia="ru-RU"/>
              </w:rPr>
            </w:pPr>
            <w:r w:rsidRPr="00C557C1">
              <w:rPr>
                <w:rFonts w:eastAsia="Times New Roman"/>
                <w:sz w:val="20"/>
                <w:szCs w:val="20"/>
                <w:lang w:eastAsia="ru-RU"/>
              </w:rPr>
              <w:t>Chlorophyll fluorescence</w:t>
            </w:r>
            <w:r w:rsidRPr="00C557C1" w:rsidDel="00852068">
              <w:rPr>
                <w:rFonts w:eastAsia="Times New Roman"/>
                <w:sz w:val="20"/>
                <w:szCs w:val="20"/>
                <w:lang w:eastAsia="ru-RU"/>
              </w:rPr>
              <w:t xml:space="preserve"> </w:t>
            </w:r>
            <w:r w:rsidRPr="00C557C1">
              <w:rPr>
                <w:rFonts w:eastAsia="Times New Roman"/>
                <w:sz w:val="20"/>
                <w:szCs w:val="20"/>
                <w:lang w:eastAsia="ru-RU"/>
              </w:rPr>
              <w:t xml:space="preserve">parameters </w:t>
            </w:r>
          </w:p>
        </w:tc>
        <w:tc>
          <w:tcPr>
            <w:tcW w:w="3436" w:type="pct"/>
            <w:gridSpan w:val="5"/>
            <w:tcBorders>
              <w:top w:val="single" w:sz="4" w:space="0" w:color="auto"/>
              <w:left w:val="nil"/>
              <w:bottom w:val="single" w:sz="4" w:space="0" w:color="auto"/>
              <w:right w:val="nil"/>
            </w:tcBorders>
            <w:noWrap/>
            <w:hideMark/>
          </w:tcPr>
          <w:p w14:paraId="1622E86A" w14:textId="77777777" w:rsidR="00970F33" w:rsidRPr="00C557C1" w:rsidRDefault="00970F33" w:rsidP="00B2281A">
            <w:pPr>
              <w:spacing w:line="260" w:lineRule="atLeast"/>
              <w:rPr>
                <w:rFonts w:eastAsia="Times New Roman"/>
                <w:sz w:val="20"/>
                <w:szCs w:val="20"/>
                <w:lang w:eastAsia="ru-RU"/>
              </w:rPr>
            </w:pPr>
            <w:r w:rsidRPr="00C557C1">
              <w:rPr>
                <w:rFonts w:eastAsia="Times New Roman"/>
                <w:sz w:val="20"/>
                <w:szCs w:val="20"/>
                <w:lang w:eastAsia="ru-RU"/>
              </w:rPr>
              <w:t>Productivity parameters</w:t>
            </w:r>
          </w:p>
        </w:tc>
      </w:tr>
      <w:tr w:rsidR="00970F33" w:rsidRPr="00C557C1" w14:paraId="450D7EB8" w14:textId="77777777" w:rsidTr="00B2281A">
        <w:trPr>
          <w:trHeight w:val="442"/>
        </w:trPr>
        <w:tc>
          <w:tcPr>
            <w:tcW w:w="630" w:type="pct"/>
            <w:vMerge/>
            <w:tcBorders>
              <w:top w:val="single" w:sz="4" w:space="0" w:color="auto"/>
              <w:left w:val="nil"/>
              <w:bottom w:val="single" w:sz="4" w:space="0" w:color="auto"/>
              <w:right w:val="nil"/>
            </w:tcBorders>
            <w:hideMark/>
          </w:tcPr>
          <w:p w14:paraId="7584BCFE" w14:textId="77777777" w:rsidR="00970F33" w:rsidRPr="00C557C1" w:rsidRDefault="00970F33" w:rsidP="00B2281A">
            <w:pPr>
              <w:spacing w:after="0" w:line="240" w:lineRule="auto"/>
              <w:rPr>
                <w:rFonts w:eastAsia="Times New Roman"/>
                <w:sz w:val="20"/>
                <w:szCs w:val="20"/>
                <w:lang w:eastAsia="ru-RU"/>
              </w:rPr>
            </w:pPr>
          </w:p>
        </w:tc>
        <w:tc>
          <w:tcPr>
            <w:tcW w:w="934" w:type="pct"/>
            <w:vMerge/>
            <w:tcBorders>
              <w:top w:val="single" w:sz="4" w:space="0" w:color="auto"/>
              <w:left w:val="nil"/>
              <w:bottom w:val="single" w:sz="4" w:space="0" w:color="auto"/>
              <w:right w:val="nil"/>
            </w:tcBorders>
            <w:hideMark/>
          </w:tcPr>
          <w:p w14:paraId="00534AB9" w14:textId="77777777" w:rsidR="00970F33" w:rsidRPr="00C557C1" w:rsidRDefault="00970F33" w:rsidP="00B2281A">
            <w:pPr>
              <w:spacing w:after="0" w:line="240" w:lineRule="auto"/>
              <w:rPr>
                <w:rFonts w:eastAsia="Times New Roman"/>
                <w:sz w:val="20"/>
                <w:szCs w:val="20"/>
                <w:lang w:eastAsia="ru-RU"/>
              </w:rPr>
            </w:pPr>
          </w:p>
        </w:tc>
        <w:tc>
          <w:tcPr>
            <w:tcW w:w="570" w:type="pct"/>
            <w:tcBorders>
              <w:top w:val="single" w:sz="4" w:space="0" w:color="auto"/>
              <w:left w:val="nil"/>
              <w:bottom w:val="single" w:sz="4" w:space="0" w:color="auto"/>
              <w:right w:val="nil"/>
            </w:tcBorders>
            <w:noWrap/>
            <w:hideMark/>
          </w:tcPr>
          <w:p w14:paraId="166644CC" w14:textId="77777777" w:rsidR="00970F33" w:rsidRPr="00C557C1" w:rsidRDefault="00970F33" w:rsidP="00B2281A">
            <w:pPr>
              <w:spacing w:line="260" w:lineRule="atLeast"/>
              <w:rPr>
                <w:rFonts w:eastAsia="Times New Roman"/>
                <w:sz w:val="20"/>
                <w:szCs w:val="20"/>
                <w:lang w:eastAsia="ru-RU"/>
              </w:rPr>
            </w:pPr>
            <w:r w:rsidRPr="00C557C1">
              <w:rPr>
                <w:rFonts w:eastAsia="Times New Roman"/>
                <w:sz w:val="20"/>
                <w:szCs w:val="20"/>
                <w:lang w:eastAsia="ru-RU"/>
              </w:rPr>
              <w:t>Spike length</w:t>
            </w:r>
          </w:p>
        </w:tc>
        <w:tc>
          <w:tcPr>
            <w:tcW w:w="801" w:type="pct"/>
            <w:tcBorders>
              <w:top w:val="single" w:sz="4" w:space="0" w:color="auto"/>
              <w:left w:val="nil"/>
              <w:bottom w:val="single" w:sz="4" w:space="0" w:color="auto"/>
              <w:right w:val="nil"/>
            </w:tcBorders>
            <w:noWrap/>
            <w:hideMark/>
          </w:tcPr>
          <w:p w14:paraId="6C69F251" w14:textId="77777777" w:rsidR="00970F33" w:rsidRPr="00C557C1" w:rsidRDefault="00970F33" w:rsidP="00B2281A">
            <w:pPr>
              <w:spacing w:line="260" w:lineRule="atLeast"/>
              <w:rPr>
                <w:rFonts w:eastAsia="Times New Roman"/>
                <w:sz w:val="20"/>
                <w:szCs w:val="20"/>
                <w:lang w:eastAsia="ru-RU"/>
              </w:rPr>
            </w:pPr>
            <w:proofErr w:type="spellStart"/>
            <w:r w:rsidRPr="00C557C1">
              <w:rPr>
                <w:rFonts w:eastAsia="Times New Roman"/>
                <w:sz w:val="20"/>
                <w:szCs w:val="20"/>
                <w:lang w:eastAsia="ru-RU"/>
              </w:rPr>
              <w:t>Spikelets</w:t>
            </w:r>
            <w:proofErr w:type="spellEnd"/>
            <w:r w:rsidRPr="00C557C1">
              <w:rPr>
                <w:rFonts w:eastAsia="Times New Roman"/>
                <w:sz w:val="20"/>
                <w:szCs w:val="20"/>
                <w:lang w:eastAsia="ru-RU"/>
              </w:rPr>
              <w:t xml:space="preserve"> per spike</w:t>
            </w:r>
          </w:p>
        </w:tc>
        <w:tc>
          <w:tcPr>
            <w:tcW w:w="720" w:type="pct"/>
            <w:tcBorders>
              <w:top w:val="single" w:sz="4" w:space="0" w:color="auto"/>
              <w:left w:val="nil"/>
              <w:bottom w:val="single" w:sz="4" w:space="0" w:color="auto"/>
              <w:right w:val="nil"/>
            </w:tcBorders>
            <w:noWrap/>
            <w:hideMark/>
          </w:tcPr>
          <w:p w14:paraId="3781FC14" w14:textId="77777777" w:rsidR="00970F33" w:rsidRPr="00C557C1" w:rsidRDefault="00970F33" w:rsidP="00B2281A">
            <w:pPr>
              <w:spacing w:line="260" w:lineRule="atLeast"/>
              <w:rPr>
                <w:rFonts w:eastAsia="Times New Roman"/>
                <w:sz w:val="20"/>
                <w:szCs w:val="20"/>
                <w:lang w:eastAsia="ru-RU"/>
              </w:rPr>
            </w:pPr>
            <w:r w:rsidRPr="00C557C1">
              <w:rPr>
                <w:rFonts w:eastAsia="Times New Roman"/>
                <w:sz w:val="20"/>
                <w:szCs w:val="20"/>
                <w:lang w:eastAsia="ru-RU"/>
              </w:rPr>
              <w:t>Florets per spike</w:t>
            </w:r>
          </w:p>
        </w:tc>
        <w:tc>
          <w:tcPr>
            <w:tcW w:w="709" w:type="pct"/>
            <w:tcBorders>
              <w:top w:val="single" w:sz="4" w:space="0" w:color="auto"/>
              <w:left w:val="nil"/>
              <w:bottom w:val="single" w:sz="4" w:space="0" w:color="auto"/>
              <w:right w:val="nil"/>
            </w:tcBorders>
            <w:noWrap/>
            <w:hideMark/>
          </w:tcPr>
          <w:p w14:paraId="10B0517A" w14:textId="77777777" w:rsidR="00970F33" w:rsidRPr="00C557C1" w:rsidRDefault="00970F33" w:rsidP="00B2281A">
            <w:pPr>
              <w:spacing w:line="260" w:lineRule="atLeast"/>
              <w:rPr>
                <w:rFonts w:eastAsia="Times New Roman"/>
                <w:sz w:val="20"/>
                <w:szCs w:val="20"/>
                <w:lang w:eastAsia="ru-RU"/>
              </w:rPr>
            </w:pPr>
            <w:r w:rsidRPr="00C557C1">
              <w:rPr>
                <w:rFonts w:eastAsia="Times New Roman"/>
                <w:sz w:val="20"/>
                <w:szCs w:val="20"/>
                <w:lang w:eastAsia="ru-RU"/>
              </w:rPr>
              <w:t>Grains per spike</w:t>
            </w:r>
          </w:p>
        </w:tc>
        <w:tc>
          <w:tcPr>
            <w:tcW w:w="636" w:type="pct"/>
            <w:tcBorders>
              <w:top w:val="single" w:sz="4" w:space="0" w:color="auto"/>
              <w:left w:val="nil"/>
              <w:bottom w:val="single" w:sz="4" w:space="0" w:color="auto"/>
              <w:right w:val="nil"/>
            </w:tcBorders>
            <w:noWrap/>
            <w:hideMark/>
          </w:tcPr>
          <w:p w14:paraId="5732705D" w14:textId="77777777" w:rsidR="00970F33" w:rsidRPr="00C557C1" w:rsidRDefault="00970F33" w:rsidP="00B2281A">
            <w:pPr>
              <w:spacing w:line="260" w:lineRule="atLeast"/>
              <w:rPr>
                <w:rFonts w:eastAsia="Times New Roman"/>
                <w:sz w:val="20"/>
                <w:szCs w:val="20"/>
                <w:lang w:eastAsia="ru-RU"/>
              </w:rPr>
            </w:pPr>
            <w:r w:rsidRPr="00C557C1">
              <w:rPr>
                <w:rFonts w:eastAsia="Times New Roman"/>
                <w:sz w:val="20"/>
                <w:szCs w:val="20"/>
                <w:lang w:eastAsia="ru-RU"/>
              </w:rPr>
              <w:t>Grain forming</w:t>
            </w:r>
          </w:p>
        </w:tc>
      </w:tr>
      <w:tr w:rsidR="00970F33" w:rsidRPr="00C557C1" w14:paraId="5B704C4D" w14:textId="77777777" w:rsidTr="00B2281A">
        <w:trPr>
          <w:trHeight w:val="300"/>
        </w:trPr>
        <w:tc>
          <w:tcPr>
            <w:tcW w:w="630" w:type="pct"/>
            <w:tcBorders>
              <w:top w:val="single" w:sz="4" w:space="0" w:color="auto"/>
              <w:left w:val="nil"/>
              <w:bottom w:val="single" w:sz="4" w:space="0" w:color="auto"/>
              <w:right w:val="nil"/>
            </w:tcBorders>
            <w:hideMark/>
          </w:tcPr>
          <w:p w14:paraId="31C33801" w14:textId="77777777" w:rsidR="00970F33" w:rsidRPr="00C557C1" w:rsidRDefault="00970F33" w:rsidP="00B2281A">
            <w:pPr>
              <w:spacing w:line="260" w:lineRule="atLeast"/>
              <w:rPr>
                <w:rFonts w:eastAsia="Times New Roman"/>
                <w:sz w:val="20"/>
                <w:szCs w:val="20"/>
                <w:lang w:eastAsia="ru-RU"/>
              </w:rPr>
            </w:pPr>
            <w:r w:rsidRPr="00C557C1">
              <w:rPr>
                <w:rFonts w:eastAsia="Times New Roman"/>
                <w:sz w:val="20"/>
                <w:szCs w:val="20"/>
                <w:lang w:eastAsia="ru-RU"/>
              </w:rPr>
              <w:t>Tillering</w:t>
            </w:r>
          </w:p>
        </w:tc>
        <w:tc>
          <w:tcPr>
            <w:tcW w:w="934" w:type="pct"/>
            <w:tcBorders>
              <w:top w:val="single" w:sz="4" w:space="0" w:color="auto"/>
              <w:left w:val="nil"/>
              <w:bottom w:val="single" w:sz="4" w:space="0" w:color="auto"/>
              <w:right w:val="nil"/>
            </w:tcBorders>
            <w:noWrap/>
            <w:hideMark/>
          </w:tcPr>
          <w:p w14:paraId="29484C11" w14:textId="77777777" w:rsidR="00970F33" w:rsidRPr="00C557C1" w:rsidRDefault="00970F33" w:rsidP="00B2281A">
            <w:pPr>
              <w:spacing w:line="260" w:lineRule="atLeast"/>
              <w:rPr>
                <w:rFonts w:eastAsia="Times New Roman"/>
                <w:sz w:val="20"/>
                <w:szCs w:val="20"/>
                <w:lang w:eastAsia="ru-RU"/>
              </w:rPr>
            </w:pPr>
            <w:r w:rsidRPr="00C557C1">
              <w:rPr>
                <w:rFonts w:eastAsia="Times New Roman"/>
                <w:sz w:val="20"/>
                <w:szCs w:val="20"/>
                <w:lang w:eastAsia="ru-RU"/>
              </w:rPr>
              <w:t>Y(NO)</w:t>
            </w:r>
            <w:r w:rsidRPr="00C557C1">
              <w:rPr>
                <w:rFonts w:eastAsia="Times New Roman"/>
                <w:sz w:val="20"/>
                <w:szCs w:val="20"/>
                <w:vertAlign w:val="subscript"/>
                <w:lang w:eastAsia="ru-RU"/>
              </w:rPr>
              <w:t>65</w:t>
            </w:r>
          </w:p>
        </w:tc>
        <w:tc>
          <w:tcPr>
            <w:tcW w:w="570" w:type="pct"/>
            <w:tcBorders>
              <w:top w:val="single" w:sz="4" w:space="0" w:color="auto"/>
              <w:left w:val="nil"/>
              <w:bottom w:val="single" w:sz="4" w:space="0" w:color="auto"/>
              <w:right w:val="nil"/>
            </w:tcBorders>
            <w:noWrap/>
            <w:hideMark/>
          </w:tcPr>
          <w:p w14:paraId="559AE983"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801" w:type="pct"/>
            <w:tcBorders>
              <w:top w:val="single" w:sz="4" w:space="0" w:color="auto"/>
              <w:left w:val="nil"/>
              <w:bottom w:val="single" w:sz="4" w:space="0" w:color="auto"/>
              <w:right w:val="nil"/>
            </w:tcBorders>
            <w:noWrap/>
            <w:hideMark/>
          </w:tcPr>
          <w:p w14:paraId="32FD2F6A"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720" w:type="pct"/>
            <w:tcBorders>
              <w:top w:val="single" w:sz="4" w:space="0" w:color="auto"/>
              <w:left w:val="nil"/>
              <w:bottom w:val="single" w:sz="4" w:space="0" w:color="auto"/>
              <w:right w:val="nil"/>
            </w:tcBorders>
            <w:noWrap/>
            <w:hideMark/>
          </w:tcPr>
          <w:p w14:paraId="3610D3C5" w14:textId="77777777" w:rsidR="00970F33" w:rsidRPr="00C557C1" w:rsidRDefault="00970F33" w:rsidP="00B2281A">
            <w:pPr>
              <w:spacing w:line="260" w:lineRule="atLeast"/>
              <w:rPr>
                <w:rFonts w:eastAsia="Calibri"/>
                <w:sz w:val="20"/>
                <w:szCs w:val="20"/>
                <w:lang w:eastAsia="en-US"/>
              </w:rPr>
            </w:pPr>
            <w:r w:rsidRPr="00C557C1">
              <w:rPr>
                <w:sz w:val="20"/>
                <w:szCs w:val="20"/>
              </w:rPr>
              <w:t>–0.61*</w:t>
            </w:r>
          </w:p>
        </w:tc>
        <w:tc>
          <w:tcPr>
            <w:tcW w:w="709" w:type="pct"/>
            <w:tcBorders>
              <w:top w:val="single" w:sz="4" w:space="0" w:color="auto"/>
              <w:left w:val="nil"/>
              <w:bottom w:val="single" w:sz="4" w:space="0" w:color="auto"/>
              <w:right w:val="nil"/>
            </w:tcBorders>
            <w:noWrap/>
            <w:hideMark/>
          </w:tcPr>
          <w:p w14:paraId="3E98F360"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636" w:type="pct"/>
            <w:tcBorders>
              <w:top w:val="single" w:sz="4" w:space="0" w:color="auto"/>
              <w:left w:val="nil"/>
              <w:bottom w:val="single" w:sz="4" w:space="0" w:color="auto"/>
              <w:right w:val="nil"/>
            </w:tcBorders>
            <w:noWrap/>
            <w:hideMark/>
          </w:tcPr>
          <w:p w14:paraId="0CBD764E"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r>
      <w:tr w:rsidR="00970F33" w:rsidRPr="00C557C1" w14:paraId="5A506E35" w14:textId="77777777" w:rsidTr="00B2281A">
        <w:trPr>
          <w:trHeight w:val="300"/>
        </w:trPr>
        <w:tc>
          <w:tcPr>
            <w:tcW w:w="630" w:type="pct"/>
            <w:vMerge w:val="restart"/>
            <w:tcBorders>
              <w:top w:val="single" w:sz="4" w:space="0" w:color="auto"/>
              <w:left w:val="nil"/>
              <w:bottom w:val="single" w:sz="4" w:space="0" w:color="auto"/>
              <w:right w:val="nil"/>
            </w:tcBorders>
            <w:hideMark/>
          </w:tcPr>
          <w:p w14:paraId="7E2C0820" w14:textId="77777777" w:rsidR="00970F33" w:rsidRPr="00C557C1" w:rsidRDefault="00970F33" w:rsidP="00B2281A">
            <w:pPr>
              <w:spacing w:line="260" w:lineRule="atLeast"/>
              <w:rPr>
                <w:rFonts w:eastAsia="Times New Roman"/>
                <w:sz w:val="20"/>
                <w:szCs w:val="20"/>
                <w:lang w:eastAsia="ru-RU"/>
              </w:rPr>
            </w:pPr>
            <w:r w:rsidRPr="00C557C1">
              <w:rPr>
                <w:rFonts w:eastAsia="Times New Roman"/>
                <w:sz w:val="20"/>
                <w:szCs w:val="20"/>
                <w:lang w:eastAsia="ru-RU"/>
              </w:rPr>
              <w:t>Stem extension</w:t>
            </w:r>
          </w:p>
        </w:tc>
        <w:tc>
          <w:tcPr>
            <w:tcW w:w="934" w:type="pct"/>
            <w:tcBorders>
              <w:top w:val="single" w:sz="4" w:space="0" w:color="auto"/>
              <w:left w:val="nil"/>
              <w:bottom w:val="single" w:sz="4" w:space="0" w:color="auto"/>
              <w:right w:val="nil"/>
            </w:tcBorders>
            <w:noWrap/>
            <w:hideMark/>
          </w:tcPr>
          <w:p w14:paraId="7A40B1E0" w14:textId="77777777" w:rsidR="00970F33" w:rsidRPr="00C557C1" w:rsidRDefault="00970F33" w:rsidP="00B2281A">
            <w:pPr>
              <w:spacing w:line="260" w:lineRule="atLeast"/>
              <w:rPr>
                <w:rFonts w:eastAsia="Times New Roman"/>
                <w:sz w:val="20"/>
                <w:szCs w:val="20"/>
                <w:lang w:eastAsia="ru-RU"/>
              </w:rPr>
            </w:pPr>
            <w:r w:rsidRPr="00C557C1">
              <w:rPr>
                <w:rFonts w:eastAsia="Times New Roman"/>
                <w:sz w:val="20"/>
                <w:szCs w:val="20"/>
                <w:lang w:eastAsia="ru-RU"/>
              </w:rPr>
              <w:t>Y(II)</w:t>
            </w:r>
            <w:r w:rsidRPr="00C557C1">
              <w:rPr>
                <w:rFonts w:eastAsia="Times New Roman"/>
                <w:sz w:val="20"/>
                <w:szCs w:val="20"/>
                <w:vertAlign w:val="subscript"/>
                <w:lang w:eastAsia="ru-RU"/>
              </w:rPr>
              <w:t>625</w:t>
            </w:r>
          </w:p>
        </w:tc>
        <w:tc>
          <w:tcPr>
            <w:tcW w:w="570" w:type="pct"/>
            <w:tcBorders>
              <w:top w:val="single" w:sz="4" w:space="0" w:color="auto"/>
              <w:left w:val="nil"/>
              <w:bottom w:val="single" w:sz="4" w:space="0" w:color="auto"/>
              <w:right w:val="nil"/>
            </w:tcBorders>
            <w:noWrap/>
            <w:hideMark/>
          </w:tcPr>
          <w:p w14:paraId="1EF4E121"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801" w:type="pct"/>
            <w:tcBorders>
              <w:top w:val="single" w:sz="4" w:space="0" w:color="auto"/>
              <w:left w:val="nil"/>
              <w:bottom w:val="single" w:sz="4" w:space="0" w:color="auto"/>
              <w:right w:val="nil"/>
            </w:tcBorders>
            <w:noWrap/>
            <w:hideMark/>
          </w:tcPr>
          <w:p w14:paraId="336D611E" w14:textId="77777777" w:rsidR="00970F33" w:rsidRPr="00C557C1" w:rsidRDefault="00970F33" w:rsidP="00B2281A">
            <w:pPr>
              <w:spacing w:line="260" w:lineRule="atLeast"/>
              <w:rPr>
                <w:rFonts w:eastAsia="Calibri"/>
                <w:sz w:val="20"/>
                <w:szCs w:val="20"/>
                <w:lang w:eastAsia="en-US"/>
              </w:rPr>
            </w:pPr>
            <w:r w:rsidRPr="00C557C1">
              <w:rPr>
                <w:sz w:val="20"/>
                <w:szCs w:val="20"/>
              </w:rPr>
              <w:t>0.62*</w:t>
            </w:r>
          </w:p>
        </w:tc>
        <w:tc>
          <w:tcPr>
            <w:tcW w:w="720" w:type="pct"/>
            <w:tcBorders>
              <w:top w:val="single" w:sz="4" w:space="0" w:color="auto"/>
              <w:left w:val="nil"/>
              <w:bottom w:val="single" w:sz="4" w:space="0" w:color="auto"/>
              <w:right w:val="nil"/>
            </w:tcBorders>
            <w:noWrap/>
            <w:hideMark/>
          </w:tcPr>
          <w:p w14:paraId="0633833C"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709" w:type="pct"/>
            <w:tcBorders>
              <w:top w:val="single" w:sz="4" w:space="0" w:color="auto"/>
              <w:left w:val="nil"/>
              <w:bottom w:val="single" w:sz="4" w:space="0" w:color="auto"/>
              <w:right w:val="nil"/>
            </w:tcBorders>
            <w:noWrap/>
            <w:hideMark/>
          </w:tcPr>
          <w:p w14:paraId="013E4548"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636" w:type="pct"/>
            <w:tcBorders>
              <w:top w:val="single" w:sz="4" w:space="0" w:color="auto"/>
              <w:left w:val="nil"/>
              <w:bottom w:val="single" w:sz="4" w:space="0" w:color="auto"/>
              <w:right w:val="nil"/>
            </w:tcBorders>
            <w:noWrap/>
            <w:hideMark/>
          </w:tcPr>
          <w:p w14:paraId="4CF47C46"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r>
      <w:tr w:rsidR="00970F33" w:rsidRPr="00C557C1" w14:paraId="1BF83C6E" w14:textId="77777777" w:rsidTr="00B2281A">
        <w:trPr>
          <w:trHeight w:val="300"/>
        </w:trPr>
        <w:tc>
          <w:tcPr>
            <w:tcW w:w="630" w:type="pct"/>
            <w:vMerge/>
            <w:tcBorders>
              <w:top w:val="single" w:sz="4" w:space="0" w:color="auto"/>
              <w:left w:val="nil"/>
              <w:bottom w:val="single" w:sz="4" w:space="0" w:color="auto"/>
              <w:right w:val="nil"/>
            </w:tcBorders>
            <w:hideMark/>
          </w:tcPr>
          <w:p w14:paraId="5AA0D852" w14:textId="77777777" w:rsidR="00970F33" w:rsidRPr="00C557C1" w:rsidRDefault="00970F33" w:rsidP="00B2281A">
            <w:pPr>
              <w:spacing w:after="0" w:line="240" w:lineRule="auto"/>
              <w:rPr>
                <w:rFonts w:eastAsia="Times New Roman"/>
                <w:sz w:val="20"/>
                <w:szCs w:val="20"/>
                <w:lang w:eastAsia="ru-RU"/>
              </w:rPr>
            </w:pPr>
          </w:p>
        </w:tc>
        <w:tc>
          <w:tcPr>
            <w:tcW w:w="934" w:type="pct"/>
            <w:tcBorders>
              <w:top w:val="single" w:sz="4" w:space="0" w:color="auto"/>
              <w:left w:val="nil"/>
              <w:bottom w:val="single" w:sz="4" w:space="0" w:color="auto"/>
              <w:right w:val="nil"/>
            </w:tcBorders>
            <w:noWrap/>
            <w:hideMark/>
          </w:tcPr>
          <w:p w14:paraId="67979F4C" w14:textId="77777777" w:rsidR="00970F33" w:rsidRPr="00C557C1" w:rsidRDefault="00970F33" w:rsidP="00B2281A">
            <w:pPr>
              <w:spacing w:line="260" w:lineRule="atLeast"/>
              <w:rPr>
                <w:rFonts w:eastAsia="Times New Roman"/>
                <w:sz w:val="20"/>
                <w:szCs w:val="20"/>
                <w:lang w:eastAsia="ru-RU"/>
              </w:rPr>
            </w:pPr>
            <w:r w:rsidRPr="00C557C1">
              <w:rPr>
                <w:rFonts w:eastAsia="Times New Roman"/>
                <w:sz w:val="20"/>
                <w:szCs w:val="20"/>
                <w:lang w:eastAsia="ru-RU"/>
              </w:rPr>
              <w:t>Y(NO)</w:t>
            </w:r>
            <w:r w:rsidRPr="00C557C1">
              <w:rPr>
                <w:rFonts w:eastAsia="Times New Roman"/>
                <w:sz w:val="20"/>
                <w:szCs w:val="20"/>
                <w:vertAlign w:val="subscript"/>
                <w:lang w:eastAsia="ru-RU"/>
              </w:rPr>
              <w:t>625</w:t>
            </w:r>
          </w:p>
        </w:tc>
        <w:tc>
          <w:tcPr>
            <w:tcW w:w="570" w:type="pct"/>
            <w:tcBorders>
              <w:top w:val="single" w:sz="4" w:space="0" w:color="auto"/>
              <w:left w:val="nil"/>
              <w:bottom w:val="single" w:sz="4" w:space="0" w:color="auto"/>
              <w:right w:val="nil"/>
            </w:tcBorders>
            <w:noWrap/>
            <w:hideMark/>
          </w:tcPr>
          <w:p w14:paraId="3EC71AD3" w14:textId="77777777" w:rsidR="00970F33" w:rsidRPr="00C557C1" w:rsidRDefault="00970F33" w:rsidP="00B2281A">
            <w:pPr>
              <w:spacing w:line="260" w:lineRule="atLeast"/>
              <w:rPr>
                <w:rFonts w:eastAsia="Calibri"/>
                <w:sz w:val="20"/>
                <w:szCs w:val="20"/>
                <w:lang w:eastAsia="en-US"/>
              </w:rPr>
            </w:pPr>
            <w:r w:rsidRPr="00C557C1">
              <w:rPr>
                <w:sz w:val="20"/>
                <w:szCs w:val="20"/>
              </w:rPr>
              <w:t>0.71*</w:t>
            </w:r>
          </w:p>
        </w:tc>
        <w:tc>
          <w:tcPr>
            <w:tcW w:w="801" w:type="pct"/>
            <w:tcBorders>
              <w:top w:val="single" w:sz="4" w:space="0" w:color="auto"/>
              <w:left w:val="nil"/>
              <w:bottom w:val="single" w:sz="4" w:space="0" w:color="auto"/>
              <w:right w:val="nil"/>
            </w:tcBorders>
            <w:noWrap/>
            <w:hideMark/>
          </w:tcPr>
          <w:p w14:paraId="775CDFEC"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720" w:type="pct"/>
            <w:tcBorders>
              <w:top w:val="single" w:sz="4" w:space="0" w:color="auto"/>
              <w:left w:val="nil"/>
              <w:bottom w:val="single" w:sz="4" w:space="0" w:color="auto"/>
              <w:right w:val="nil"/>
            </w:tcBorders>
            <w:noWrap/>
            <w:hideMark/>
          </w:tcPr>
          <w:p w14:paraId="410767AE"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709" w:type="pct"/>
            <w:tcBorders>
              <w:top w:val="single" w:sz="4" w:space="0" w:color="auto"/>
              <w:left w:val="nil"/>
              <w:bottom w:val="single" w:sz="4" w:space="0" w:color="auto"/>
              <w:right w:val="nil"/>
            </w:tcBorders>
            <w:noWrap/>
            <w:hideMark/>
          </w:tcPr>
          <w:p w14:paraId="54215D4B"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636" w:type="pct"/>
            <w:tcBorders>
              <w:top w:val="single" w:sz="4" w:space="0" w:color="auto"/>
              <w:left w:val="nil"/>
              <w:bottom w:val="single" w:sz="4" w:space="0" w:color="auto"/>
              <w:right w:val="nil"/>
            </w:tcBorders>
            <w:noWrap/>
            <w:hideMark/>
          </w:tcPr>
          <w:p w14:paraId="1F04F358"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r>
      <w:tr w:rsidR="00970F33" w:rsidRPr="00C557C1" w14:paraId="4FA71599" w14:textId="77777777" w:rsidTr="00B2281A">
        <w:trPr>
          <w:trHeight w:val="300"/>
        </w:trPr>
        <w:tc>
          <w:tcPr>
            <w:tcW w:w="630" w:type="pct"/>
            <w:vMerge/>
            <w:tcBorders>
              <w:top w:val="single" w:sz="4" w:space="0" w:color="auto"/>
              <w:left w:val="nil"/>
              <w:bottom w:val="single" w:sz="4" w:space="0" w:color="auto"/>
              <w:right w:val="nil"/>
            </w:tcBorders>
            <w:hideMark/>
          </w:tcPr>
          <w:p w14:paraId="1D330A0D" w14:textId="77777777" w:rsidR="00970F33" w:rsidRPr="00C557C1" w:rsidRDefault="00970F33" w:rsidP="00B2281A">
            <w:pPr>
              <w:spacing w:after="0" w:line="240" w:lineRule="auto"/>
              <w:rPr>
                <w:rFonts w:eastAsia="Times New Roman"/>
                <w:sz w:val="20"/>
                <w:szCs w:val="20"/>
                <w:lang w:eastAsia="ru-RU"/>
              </w:rPr>
            </w:pPr>
          </w:p>
        </w:tc>
        <w:tc>
          <w:tcPr>
            <w:tcW w:w="934" w:type="pct"/>
            <w:tcBorders>
              <w:top w:val="single" w:sz="4" w:space="0" w:color="auto"/>
              <w:left w:val="nil"/>
              <w:bottom w:val="single" w:sz="4" w:space="0" w:color="auto"/>
              <w:right w:val="nil"/>
            </w:tcBorders>
            <w:noWrap/>
            <w:hideMark/>
          </w:tcPr>
          <w:p w14:paraId="4A155024" w14:textId="77777777" w:rsidR="00970F33" w:rsidRPr="00C557C1" w:rsidRDefault="00970F33" w:rsidP="00B2281A">
            <w:pPr>
              <w:spacing w:line="260" w:lineRule="atLeast"/>
              <w:rPr>
                <w:rFonts w:eastAsia="Times New Roman"/>
                <w:sz w:val="20"/>
                <w:szCs w:val="20"/>
                <w:lang w:eastAsia="ru-RU"/>
              </w:rPr>
            </w:pPr>
            <w:r w:rsidRPr="00C557C1">
              <w:rPr>
                <w:rFonts w:eastAsia="Times New Roman"/>
                <w:sz w:val="20"/>
                <w:szCs w:val="20"/>
                <w:lang w:eastAsia="ru-RU"/>
              </w:rPr>
              <w:t>Y(NPQ)</w:t>
            </w:r>
            <w:r w:rsidRPr="00C557C1">
              <w:rPr>
                <w:rFonts w:eastAsia="Times New Roman"/>
                <w:sz w:val="20"/>
                <w:szCs w:val="20"/>
                <w:vertAlign w:val="subscript"/>
                <w:lang w:eastAsia="ru-RU"/>
              </w:rPr>
              <w:t>65</w:t>
            </w:r>
          </w:p>
        </w:tc>
        <w:tc>
          <w:tcPr>
            <w:tcW w:w="570" w:type="pct"/>
            <w:tcBorders>
              <w:top w:val="single" w:sz="4" w:space="0" w:color="auto"/>
              <w:left w:val="nil"/>
              <w:bottom w:val="single" w:sz="4" w:space="0" w:color="auto"/>
              <w:right w:val="nil"/>
            </w:tcBorders>
            <w:noWrap/>
            <w:hideMark/>
          </w:tcPr>
          <w:p w14:paraId="2EB0507E"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801" w:type="pct"/>
            <w:tcBorders>
              <w:top w:val="single" w:sz="4" w:space="0" w:color="auto"/>
              <w:left w:val="nil"/>
              <w:bottom w:val="single" w:sz="4" w:space="0" w:color="auto"/>
              <w:right w:val="nil"/>
            </w:tcBorders>
            <w:noWrap/>
            <w:hideMark/>
          </w:tcPr>
          <w:p w14:paraId="3D0CBC54" w14:textId="77777777" w:rsidR="00970F33" w:rsidRPr="00C557C1" w:rsidRDefault="00970F33" w:rsidP="00B2281A">
            <w:pPr>
              <w:spacing w:line="260" w:lineRule="atLeast"/>
              <w:rPr>
                <w:rFonts w:eastAsia="Calibri"/>
                <w:sz w:val="20"/>
                <w:szCs w:val="20"/>
                <w:lang w:eastAsia="en-US"/>
              </w:rPr>
            </w:pPr>
            <w:r w:rsidRPr="00C557C1">
              <w:rPr>
                <w:sz w:val="20"/>
                <w:szCs w:val="20"/>
              </w:rPr>
              <w:t>–0.62*</w:t>
            </w:r>
          </w:p>
        </w:tc>
        <w:tc>
          <w:tcPr>
            <w:tcW w:w="720" w:type="pct"/>
            <w:tcBorders>
              <w:top w:val="single" w:sz="4" w:space="0" w:color="auto"/>
              <w:left w:val="nil"/>
              <w:bottom w:val="single" w:sz="4" w:space="0" w:color="auto"/>
              <w:right w:val="nil"/>
            </w:tcBorders>
            <w:noWrap/>
            <w:hideMark/>
          </w:tcPr>
          <w:p w14:paraId="2CA1B217"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709" w:type="pct"/>
            <w:tcBorders>
              <w:top w:val="single" w:sz="4" w:space="0" w:color="auto"/>
              <w:left w:val="nil"/>
              <w:bottom w:val="single" w:sz="4" w:space="0" w:color="auto"/>
              <w:right w:val="nil"/>
            </w:tcBorders>
            <w:noWrap/>
            <w:hideMark/>
          </w:tcPr>
          <w:p w14:paraId="5239F273"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636" w:type="pct"/>
            <w:tcBorders>
              <w:top w:val="single" w:sz="4" w:space="0" w:color="auto"/>
              <w:left w:val="nil"/>
              <w:bottom w:val="single" w:sz="4" w:space="0" w:color="auto"/>
              <w:right w:val="nil"/>
            </w:tcBorders>
            <w:noWrap/>
            <w:hideMark/>
          </w:tcPr>
          <w:p w14:paraId="1416F44E"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r>
      <w:tr w:rsidR="00970F33" w:rsidRPr="00C557C1" w14:paraId="63CA5566" w14:textId="77777777" w:rsidTr="00B2281A">
        <w:trPr>
          <w:trHeight w:val="300"/>
        </w:trPr>
        <w:tc>
          <w:tcPr>
            <w:tcW w:w="630" w:type="pct"/>
            <w:vMerge/>
            <w:tcBorders>
              <w:top w:val="single" w:sz="4" w:space="0" w:color="auto"/>
              <w:left w:val="nil"/>
              <w:bottom w:val="single" w:sz="4" w:space="0" w:color="auto"/>
              <w:right w:val="nil"/>
            </w:tcBorders>
            <w:hideMark/>
          </w:tcPr>
          <w:p w14:paraId="57F47070" w14:textId="77777777" w:rsidR="00970F33" w:rsidRPr="00C557C1" w:rsidRDefault="00970F33" w:rsidP="00B2281A">
            <w:pPr>
              <w:spacing w:after="0" w:line="240" w:lineRule="auto"/>
              <w:rPr>
                <w:rFonts w:eastAsia="Times New Roman"/>
                <w:sz w:val="20"/>
                <w:szCs w:val="20"/>
                <w:lang w:eastAsia="ru-RU"/>
              </w:rPr>
            </w:pPr>
          </w:p>
        </w:tc>
        <w:tc>
          <w:tcPr>
            <w:tcW w:w="934" w:type="pct"/>
            <w:tcBorders>
              <w:top w:val="single" w:sz="4" w:space="0" w:color="auto"/>
              <w:left w:val="nil"/>
              <w:bottom w:val="single" w:sz="4" w:space="0" w:color="auto"/>
              <w:right w:val="nil"/>
            </w:tcBorders>
            <w:noWrap/>
            <w:hideMark/>
          </w:tcPr>
          <w:p w14:paraId="578A5B11" w14:textId="77777777" w:rsidR="00970F33" w:rsidRPr="00C557C1" w:rsidRDefault="00970F33" w:rsidP="00B2281A">
            <w:pPr>
              <w:spacing w:line="260" w:lineRule="atLeast"/>
              <w:rPr>
                <w:rFonts w:eastAsia="Times New Roman"/>
                <w:sz w:val="20"/>
                <w:szCs w:val="20"/>
                <w:lang w:eastAsia="ru-RU"/>
              </w:rPr>
            </w:pPr>
            <w:r w:rsidRPr="00C557C1">
              <w:rPr>
                <w:rFonts w:eastAsia="Times New Roman"/>
                <w:sz w:val="20"/>
                <w:szCs w:val="20"/>
                <w:lang w:eastAsia="ru-RU"/>
              </w:rPr>
              <w:t>Y(II)</w:t>
            </w:r>
            <w:r w:rsidRPr="00C557C1">
              <w:rPr>
                <w:rFonts w:eastAsia="Times New Roman"/>
                <w:sz w:val="20"/>
                <w:szCs w:val="20"/>
                <w:vertAlign w:val="subscript"/>
                <w:lang w:eastAsia="ru-RU"/>
              </w:rPr>
              <w:t>65</w:t>
            </w:r>
          </w:p>
        </w:tc>
        <w:tc>
          <w:tcPr>
            <w:tcW w:w="570" w:type="pct"/>
            <w:tcBorders>
              <w:top w:val="single" w:sz="4" w:space="0" w:color="auto"/>
              <w:left w:val="nil"/>
              <w:bottom w:val="single" w:sz="4" w:space="0" w:color="auto"/>
              <w:right w:val="nil"/>
            </w:tcBorders>
            <w:noWrap/>
            <w:hideMark/>
          </w:tcPr>
          <w:p w14:paraId="71D487F8"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801" w:type="pct"/>
            <w:tcBorders>
              <w:top w:val="single" w:sz="4" w:space="0" w:color="auto"/>
              <w:left w:val="nil"/>
              <w:bottom w:val="single" w:sz="4" w:space="0" w:color="auto"/>
              <w:right w:val="nil"/>
            </w:tcBorders>
            <w:noWrap/>
            <w:hideMark/>
          </w:tcPr>
          <w:p w14:paraId="01712B69"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720" w:type="pct"/>
            <w:tcBorders>
              <w:top w:val="single" w:sz="4" w:space="0" w:color="auto"/>
              <w:left w:val="nil"/>
              <w:bottom w:val="single" w:sz="4" w:space="0" w:color="auto"/>
              <w:right w:val="nil"/>
            </w:tcBorders>
            <w:noWrap/>
            <w:hideMark/>
          </w:tcPr>
          <w:p w14:paraId="6D9B076D"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709" w:type="pct"/>
            <w:tcBorders>
              <w:top w:val="single" w:sz="4" w:space="0" w:color="auto"/>
              <w:left w:val="nil"/>
              <w:bottom w:val="single" w:sz="4" w:space="0" w:color="auto"/>
              <w:right w:val="nil"/>
            </w:tcBorders>
            <w:noWrap/>
            <w:hideMark/>
          </w:tcPr>
          <w:p w14:paraId="6F78C7D9" w14:textId="77777777" w:rsidR="00970F33" w:rsidRPr="00C557C1" w:rsidRDefault="00970F33" w:rsidP="00B2281A">
            <w:pPr>
              <w:spacing w:line="260" w:lineRule="atLeast"/>
              <w:rPr>
                <w:rFonts w:eastAsia="Calibri"/>
                <w:sz w:val="20"/>
                <w:szCs w:val="20"/>
                <w:lang w:eastAsia="en-US"/>
              </w:rPr>
            </w:pPr>
            <w:r w:rsidRPr="00C557C1">
              <w:rPr>
                <w:sz w:val="20"/>
                <w:szCs w:val="20"/>
              </w:rPr>
              <w:t>0.67*</w:t>
            </w:r>
          </w:p>
        </w:tc>
        <w:tc>
          <w:tcPr>
            <w:tcW w:w="636" w:type="pct"/>
            <w:tcBorders>
              <w:top w:val="single" w:sz="4" w:space="0" w:color="auto"/>
              <w:left w:val="nil"/>
              <w:bottom w:val="single" w:sz="4" w:space="0" w:color="auto"/>
              <w:right w:val="nil"/>
            </w:tcBorders>
            <w:noWrap/>
            <w:hideMark/>
          </w:tcPr>
          <w:p w14:paraId="0797C0C1" w14:textId="77777777" w:rsidR="00970F33" w:rsidRPr="00C557C1" w:rsidRDefault="00970F33" w:rsidP="00B2281A">
            <w:pPr>
              <w:spacing w:line="260" w:lineRule="atLeast"/>
              <w:rPr>
                <w:rFonts w:eastAsia="Calibri"/>
                <w:sz w:val="20"/>
                <w:szCs w:val="20"/>
                <w:lang w:eastAsia="en-US"/>
              </w:rPr>
            </w:pPr>
            <w:r w:rsidRPr="00C557C1">
              <w:rPr>
                <w:sz w:val="20"/>
                <w:szCs w:val="20"/>
              </w:rPr>
              <w:t>0.65*</w:t>
            </w:r>
          </w:p>
        </w:tc>
      </w:tr>
      <w:tr w:rsidR="00970F33" w:rsidRPr="00C557C1" w14:paraId="6C327F3A" w14:textId="77777777" w:rsidTr="00B2281A">
        <w:trPr>
          <w:trHeight w:val="300"/>
        </w:trPr>
        <w:tc>
          <w:tcPr>
            <w:tcW w:w="630" w:type="pct"/>
            <w:vMerge/>
            <w:tcBorders>
              <w:top w:val="single" w:sz="4" w:space="0" w:color="auto"/>
              <w:left w:val="nil"/>
              <w:bottom w:val="single" w:sz="4" w:space="0" w:color="auto"/>
              <w:right w:val="nil"/>
            </w:tcBorders>
            <w:hideMark/>
          </w:tcPr>
          <w:p w14:paraId="643B071D" w14:textId="77777777" w:rsidR="00970F33" w:rsidRPr="00C557C1" w:rsidRDefault="00970F33" w:rsidP="00B2281A">
            <w:pPr>
              <w:spacing w:after="0" w:line="240" w:lineRule="auto"/>
              <w:rPr>
                <w:rFonts w:eastAsia="Times New Roman"/>
                <w:sz w:val="20"/>
                <w:szCs w:val="20"/>
                <w:lang w:eastAsia="ru-RU"/>
              </w:rPr>
            </w:pPr>
          </w:p>
        </w:tc>
        <w:tc>
          <w:tcPr>
            <w:tcW w:w="934" w:type="pct"/>
            <w:tcBorders>
              <w:top w:val="single" w:sz="4" w:space="0" w:color="auto"/>
              <w:left w:val="nil"/>
              <w:bottom w:val="single" w:sz="4" w:space="0" w:color="auto"/>
              <w:right w:val="nil"/>
            </w:tcBorders>
            <w:noWrap/>
            <w:hideMark/>
          </w:tcPr>
          <w:p w14:paraId="478CD44D" w14:textId="77777777" w:rsidR="00970F33" w:rsidRPr="00C557C1" w:rsidRDefault="00970F33" w:rsidP="00B2281A">
            <w:pPr>
              <w:spacing w:line="260" w:lineRule="atLeast"/>
              <w:rPr>
                <w:rFonts w:eastAsia="Times New Roman"/>
                <w:sz w:val="20"/>
                <w:szCs w:val="20"/>
                <w:lang w:eastAsia="ru-RU"/>
              </w:rPr>
            </w:pPr>
            <w:r w:rsidRPr="00C557C1">
              <w:rPr>
                <w:rFonts w:eastAsia="Times New Roman"/>
                <w:sz w:val="20"/>
                <w:szCs w:val="20"/>
                <w:lang w:eastAsia="ru-RU"/>
              </w:rPr>
              <w:t>α</w:t>
            </w:r>
          </w:p>
        </w:tc>
        <w:tc>
          <w:tcPr>
            <w:tcW w:w="570" w:type="pct"/>
            <w:tcBorders>
              <w:top w:val="single" w:sz="4" w:space="0" w:color="auto"/>
              <w:left w:val="nil"/>
              <w:bottom w:val="single" w:sz="4" w:space="0" w:color="auto"/>
              <w:right w:val="nil"/>
            </w:tcBorders>
            <w:noWrap/>
            <w:hideMark/>
          </w:tcPr>
          <w:p w14:paraId="00B975FA"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801" w:type="pct"/>
            <w:tcBorders>
              <w:top w:val="single" w:sz="4" w:space="0" w:color="auto"/>
              <w:left w:val="nil"/>
              <w:bottom w:val="single" w:sz="4" w:space="0" w:color="auto"/>
              <w:right w:val="nil"/>
            </w:tcBorders>
            <w:noWrap/>
            <w:hideMark/>
          </w:tcPr>
          <w:p w14:paraId="65EFAFCA"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720" w:type="pct"/>
            <w:tcBorders>
              <w:top w:val="single" w:sz="4" w:space="0" w:color="auto"/>
              <w:left w:val="nil"/>
              <w:bottom w:val="single" w:sz="4" w:space="0" w:color="auto"/>
              <w:right w:val="nil"/>
            </w:tcBorders>
            <w:noWrap/>
            <w:hideMark/>
          </w:tcPr>
          <w:p w14:paraId="3737CC86"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709" w:type="pct"/>
            <w:tcBorders>
              <w:top w:val="single" w:sz="4" w:space="0" w:color="auto"/>
              <w:left w:val="nil"/>
              <w:bottom w:val="single" w:sz="4" w:space="0" w:color="auto"/>
              <w:right w:val="nil"/>
            </w:tcBorders>
            <w:noWrap/>
            <w:hideMark/>
          </w:tcPr>
          <w:p w14:paraId="72AE0472"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636" w:type="pct"/>
            <w:tcBorders>
              <w:top w:val="single" w:sz="4" w:space="0" w:color="auto"/>
              <w:left w:val="nil"/>
              <w:bottom w:val="single" w:sz="4" w:space="0" w:color="auto"/>
              <w:right w:val="nil"/>
            </w:tcBorders>
            <w:noWrap/>
            <w:hideMark/>
          </w:tcPr>
          <w:p w14:paraId="18ED8C77" w14:textId="77777777" w:rsidR="00970F33" w:rsidRPr="00C557C1" w:rsidRDefault="00970F33" w:rsidP="00B2281A">
            <w:pPr>
              <w:spacing w:line="260" w:lineRule="atLeast"/>
              <w:rPr>
                <w:rFonts w:eastAsia="Calibri"/>
                <w:sz w:val="20"/>
                <w:szCs w:val="20"/>
                <w:lang w:eastAsia="en-US"/>
              </w:rPr>
            </w:pPr>
            <w:r w:rsidRPr="00C557C1">
              <w:rPr>
                <w:sz w:val="20"/>
                <w:szCs w:val="20"/>
              </w:rPr>
              <w:t>0.77**</w:t>
            </w:r>
          </w:p>
        </w:tc>
      </w:tr>
      <w:tr w:rsidR="00970F33" w:rsidRPr="00C557C1" w14:paraId="1D1796D7" w14:textId="77777777" w:rsidTr="00B2281A">
        <w:trPr>
          <w:trHeight w:val="300"/>
        </w:trPr>
        <w:tc>
          <w:tcPr>
            <w:tcW w:w="630" w:type="pct"/>
            <w:vMerge w:val="restart"/>
            <w:tcBorders>
              <w:top w:val="single" w:sz="4" w:space="0" w:color="auto"/>
              <w:left w:val="nil"/>
              <w:bottom w:val="single" w:sz="4" w:space="0" w:color="auto"/>
              <w:right w:val="nil"/>
            </w:tcBorders>
            <w:hideMark/>
          </w:tcPr>
          <w:p w14:paraId="6847D7A4" w14:textId="77777777" w:rsidR="00970F33" w:rsidRPr="00C557C1" w:rsidRDefault="00970F33" w:rsidP="00B2281A">
            <w:pPr>
              <w:spacing w:line="260" w:lineRule="atLeast"/>
              <w:rPr>
                <w:rFonts w:eastAsia="Times New Roman"/>
                <w:sz w:val="20"/>
                <w:szCs w:val="20"/>
                <w:lang w:eastAsia="ru-RU"/>
              </w:rPr>
            </w:pPr>
            <w:proofErr w:type="spellStart"/>
            <w:r w:rsidRPr="00C557C1">
              <w:rPr>
                <w:rFonts w:eastAsia="Times New Roman"/>
                <w:sz w:val="20"/>
                <w:szCs w:val="20"/>
                <w:lang w:eastAsia="ru-RU"/>
              </w:rPr>
              <w:t>Subflag</w:t>
            </w:r>
            <w:proofErr w:type="spellEnd"/>
            <w:r w:rsidRPr="00C557C1">
              <w:rPr>
                <w:rFonts w:eastAsia="Times New Roman"/>
                <w:sz w:val="20"/>
                <w:szCs w:val="20"/>
                <w:lang w:eastAsia="ru-RU"/>
              </w:rPr>
              <w:t xml:space="preserve"> leaf  </w:t>
            </w:r>
          </w:p>
        </w:tc>
        <w:tc>
          <w:tcPr>
            <w:tcW w:w="934" w:type="pct"/>
            <w:tcBorders>
              <w:top w:val="single" w:sz="4" w:space="0" w:color="auto"/>
              <w:left w:val="nil"/>
              <w:bottom w:val="single" w:sz="4" w:space="0" w:color="auto"/>
              <w:right w:val="nil"/>
            </w:tcBorders>
            <w:noWrap/>
            <w:hideMark/>
          </w:tcPr>
          <w:p w14:paraId="2728AD49" w14:textId="77777777" w:rsidR="00970F33" w:rsidRPr="00C557C1" w:rsidRDefault="00970F33" w:rsidP="00B2281A">
            <w:pPr>
              <w:spacing w:line="260" w:lineRule="atLeast"/>
              <w:rPr>
                <w:rFonts w:eastAsia="Times New Roman"/>
                <w:sz w:val="20"/>
                <w:szCs w:val="20"/>
                <w:lang w:eastAsia="ru-RU"/>
              </w:rPr>
            </w:pPr>
            <w:r w:rsidRPr="00C557C1">
              <w:rPr>
                <w:rFonts w:eastAsia="Times New Roman"/>
                <w:sz w:val="20"/>
                <w:szCs w:val="20"/>
                <w:lang w:eastAsia="ru-RU"/>
              </w:rPr>
              <w:t>Y(NPQ)</w:t>
            </w:r>
            <w:r w:rsidRPr="00C557C1">
              <w:rPr>
                <w:rFonts w:eastAsia="Times New Roman"/>
                <w:sz w:val="20"/>
                <w:szCs w:val="20"/>
                <w:vertAlign w:val="subscript"/>
                <w:lang w:eastAsia="ru-RU"/>
              </w:rPr>
              <w:t>625</w:t>
            </w:r>
          </w:p>
        </w:tc>
        <w:tc>
          <w:tcPr>
            <w:tcW w:w="570" w:type="pct"/>
            <w:tcBorders>
              <w:top w:val="single" w:sz="4" w:space="0" w:color="auto"/>
              <w:left w:val="nil"/>
              <w:bottom w:val="single" w:sz="4" w:space="0" w:color="auto"/>
              <w:right w:val="nil"/>
            </w:tcBorders>
            <w:noWrap/>
            <w:hideMark/>
          </w:tcPr>
          <w:p w14:paraId="5E8C82EA"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801" w:type="pct"/>
            <w:tcBorders>
              <w:top w:val="single" w:sz="4" w:space="0" w:color="auto"/>
              <w:left w:val="nil"/>
              <w:bottom w:val="single" w:sz="4" w:space="0" w:color="auto"/>
              <w:right w:val="nil"/>
            </w:tcBorders>
            <w:noWrap/>
            <w:hideMark/>
          </w:tcPr>
          <w:p w14:paraId="4F872A17" w14:textId="77777777" w:rsidR="00970F33" w:rsidRPr="00C557C1" w:rsidRDefault="00970F33" w:rsidP="00B2281A">
            <w:pPr>
              <w:spacing w:line="260" w:lineRule="atLeast"/>
              <w:rPr>
                <w:rFonts w:eastAsia="Calibri"/>
                <w:sz w:val="20"/>
                <w:szCs w:val="20"/>
                <w:lang w:eastAsia="en-US"/>
              </w:rPr>
            </w:pPr>
            <w:r w:rsidRPr="00C557C1">
              <w:rPr>
                <w:sz w:val="20"/>
                <w:szCs w:val="20"/>
              </w:rPr>
              <w:t>–0.80**</w:t>
            </w:r>
          </w:p>
        </w:tc>
        <w:tc>
          <w:tcPr>
            <w:tcW w:w="720" w:type="pct"/>
            <w:tcBorders>
              <w:top w:val="single" w:sz="4" w:space="0" w:color="auto"/>
              <w:left w:val="nil"/>
              <w:bottom w:val="single" w:sz="4" w:space="0" w:color="auto"/>
              <w:right w:val="nil"/>
            </w:tcBorders>
            <w:noWrap/>
            <w:hideMark/>
          </w:tcPr>
          <w:p w14:paraId="0F66A174"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709" w:type="pct"/>
            <w:tcBorders>
              <w:top w:val="single" w:sz="4" w:space="0" w:color="auto"/>
              <w:left w:val="nil"/>
              <w:bottom w:val="single" w:sz="4" w:space="0" w:color="auto"/>
              <w:right w:val="nil"/>
            </w:tcBorders>
            <w:noWrap/>
            <w:hideMark/>
          </w:tcPr>
          <w:p w14:paraId="6F4CA499"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636" w:type="pct"/>
            <w:tcBorders>
              <w:top w:val="single" w:sz="4" w:space="0" w:color="auto"/>
              <w:left w:val="nil"/>
              <w:bottom w:val="single" w:sz="4" w:space="0" w:color="auto"/>
              <w:right w:val="nil"/>
            </w:tcBorders>
            <w:noWrap/>
            <w:hideMark/>
          </w:tcPr>
          <w:p w14:paraId="6A536A08"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r>
      <w:tr w:rsidR="00970F33" w:rsidRPr="00C557C1" w14:paraId="22E4A4B7" w14:textId="77777777" w:rsidTr="00B2281A">
        <w:trPr>
          <w:trHeight w:val="300"/>
        </w:trPr>
        <w:tc>
          <w:tcPr>
            <w:tcW w:w="630" w:type="pct"/>
            <w:vMerge/>
            <w:tcBorders>
              <w:top w:val="single" w:sz="4" w:space="0" w:color="auto"/>
              <w:left w:val="nil"/>
              <w:bottom w:val="single" w:sz="4" w:space="0" w:color="auto"/>
              <w:right w:val="nil"/>
            </w:tcBorders>
            <w:hideMark/>
          </w:tcPr>
          <w:p w14:paraId="2D027918" w14:textId="77777777" w:rsidR="00970F33" w:rsidRPr="00C557C1" w:rsidRDefault="00970F33" w:rsidP="00B2281A">
            <w:pPr>
              <w:spacing w:after="0" w:line="240" w:lineRule="auto"/>
              <w:rPr>
                <w:rFonts w:eastAsia="Times New Roman"/>
                <w:sz w:val="20"/>
                <w:szCs w:val="20"/>
                <w:lang w:eastAsia="ru-RU"/>
              </w:rPr>
            </w:pPr>
          </w:p>
        </w:tc>
        <w:tc>
          <w:tcPr>
            <w:tcW w:w="934" w:type="pct"/>
            <w:tcBorders>
              <w:top w:val="single" w:sz="4" w:space="0" w:color="auto"/>
              <w:left w:val="nil"/>
              <w:bottom w:val="single" w:sz="4" w:space="0" w:color="auto"/>
              <w:right w:val="nil"/>
            </w:tcBorders>
            <w:noWrap/>
            <w:hideMark/>
          </w:tcPr>
          <w:p w14:paraId="52EC5008" w14:textId="77777777" w:rsidR="00970F33" w:rsidRPr="00C557C1" w:rsidRDefault="00970F33" w:rsidP="00B2281A">
            <w:pPr>
              <w:spacing w:line="260" w:lineRule="atLeast"/>
              <w:rPr>
                <w:rFonts w:eastAsia="Times New Roman"/>
                <w:sz w:val="20"/>
                <w:szCs w:val="20"/>
                <w:lang w:eastAsia="ru-RU"/>
              </w:rPr>
            </w:pPr>
            <w:r w:rsidRPr="00C557C1">
              <w:rPr>
                <w:rFonts w:eastAsia="Times New Roman"/>
                <w:sz w:val="20"/>
                <w:szCs w:val="20"/>
                <w:lang w:eastAsia="ru-RU"/>
              </w:rPr>
              <w:t>Y(II)</w:t>
            </w:r>
            <w:r w:rsidRPr="00C557C1">
              <w:rPr>
                <w:rFonts w:eastAsia="Times New Roman"/>
                <w:sz w:val="20"/>
                <w:szCs w:val="20"/>
                <w:vertAlign w:val="subscript"/>
                <w:lang w:eastAsia="ru-RU"/>
              </w:rPr>
              <w:t>625</w:t>
            </w:r>
          </w:p>
        </w:tc>
        <w:tc>
          <w:tcPr>
            <w:tcW w:w="570" w:type="pct"/>
            <w:tcBorders>
              <w:top w:val="single" w:sz="4" w:space="0" w:color="auto"/>
              <w:left w:val="nil"/>
              <w:bottom w:val="single" w:sz="4" w:space="0" w:color="auto"/>
              <w:right w:val="nil"/>
            </w:tcBorders>
            <w:noWrap/>
            <w:hideMark/>
          </w:tcPr>
          <w:p w14:paraId="4EC7133B"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801" w:type="pct"/>
            <w:tcBorders>
              <w:top w:val="single" w:sz="4" w:space="0" w:color="auto"/>
              <w:left w:val="nil"/>
              <w:bottom w:val="single" w:sz="4" w:space="0" w:color="auto"/>
              <w:right w:val="nil"/>
            </w:tcBorders>
            <w:noWrap/>
            <w:hideMark/>
          </w:tcPr>
          <w:p w14:paraId="46398D7C" w14:textId="77777777" w:rsidR="00970F33" w:rsidRPr="00C557C1" w:rsidRDefault="00970F33" w:rsidP="00B2281A">
            <w:pPr>
              <w:spacing w:line="260" w:lineRule="atLeast"/>
              <w:rPr>
                <w:rFonts w:eastAsia="Calibri"/>
                <w:sz w:val="20"/>
                <w:szCs w:val="20"/>
                <w:lang w:eastAsia="en-US"/>
              </w:rPr>
            </w:pPr>
            <w:r w:rsidRPr="00C557C1">
              <w:rPr>
                <w:sz w:val="20"/>
                <w:szCs w:val="20"/>
              </w:rPr>
              <w:t>0.61*</w:t>
            </w:r>
          </w:p>
        </w:tc>
        <w:tc>
          <w:tcPr>
            <w:tcW w:w="720" w:type="pct"/>
            <w:tcBorders>
              <w:top w:val="single" w:sz="4" w:space="0" w:color="auto"/>
              <w:left w:val="nil"/>
              <w:bottom w:val="single" w:sz="4" w:space="0" w:color="auto"/>
              <w:right w:val="nil"/>
            </w:tcBorders>
            <w:noWrap/>
            <w:hideMark/>
          </w:tcPr>
          <w:p w14:paraId="28F599BA"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709" w:type="pct"/>
            <w:tcBorders>
              <w:top w:val="single" w:sz="4" w:space="0" w:color="auto"/>
              <w:left w:val="nil"/>
              <w:bottom w:val="single" w:sz="4" w:space="0" w:color="auto"/>
              <w:right w:val="nil"/>
            </w:tcBorders>
            <w:noWrap/>
            <w:hideMark/>
          </w:tcPr>
          <w:p w14:paraId="71173994"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636" w:type="pct"/>
            <w:tcBorders>
              <w:top w:val="single" w:sz="4" w:space="0" w:color="auto"/>
              <w:left w:val="nil"/>
              <w:bottom w:val="single" w:sz="4" w:space="0" w:color="auto"/>
              <w:right w:val="nil"/>
            </w:tcBorders>
            <w:noWrap/>
            <w:hideMark/>
          </w:tcPr>
          <w:p w14:paraId="2308C7C5"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r>
      <w:tr w:rsidR="00970F33" w:rsidRPr="00C557C1" w14:paraId="28A673A2" w14:textId="77777777" w:rsidTr="00B2281A">
        <w:trPr>
          <w:trHeight w:val="300"/>
        </w:trPr>
        <w:tc>
          <w:tcPr>
            <w:tcW w:w="630" w:type="pct"/>
            <w:vMerge/>
            <w:tcBorders>
              <w:top w:val="single" w:sz="4" w:space="0" w:color="auto"/>
              <w:left w:val="nil"/>
              <w:bottom w:val="single" w:sz="4" w:space="0" w:color="auto"/>
              <w:right w:val="nil"/>
            </w:tcBorders>
            <w:hideMark/>
          </w:tcPr>
          <w:p w14:paraId="388FB348" w14:textId="77777777" w:rsidR="00970F33" w:rsidRPr="00C557C1" w:rsidRDefault="00970F33" w:rsidP="00B2281A">
            <w:pPr>
              <w:spacing w:after="0" w:line="240" w:lineRule="auto"/>
              <w:rPr>
                <w:rFonts w:eastAsia="Times New Roman"/>
                <w:sz w:val="20"/>
                <w:szCs w:val="20"/>
                <w:lang w:eastAsia="ru-RU"/>
              </w:rPr>
            </w:pPr>
          </w:p>
        </w:tc>
        <w:tc>
          <w:tcPr>
            <w:tcW w:w="934" w:type="pct"/>
            <w:tcBorders>
              <w:top w:val="single" w:sz="4" w:space="0" w:color="auto"/>
              <w:left w:val="nil"/>
              <w:bottom w:val="single" w:sz="4" w:space="0" w:color="auto"/>
              <w:right w:val="nil"/>
            </w:tcBorders>
            <w:noWrap/>
            <w:hideMark/>
          </w:tcPr>
          <w:p w14:paraId="7BDDB0D6" w14:textId="77777777" w:rsidR="00970F33" w:rsidRPr="00C557C1" w:rsidRDefault="00970F33" w:rsidP="00B2281A">
            <w:pPr>
              <w:spacing w:line="260" w:lineRule="atLeast"/>
              <w:rPr>
                <w:rFonts w:eastAsia="Times New Roman"/>
                <w:sz w:val="20"/>
                <w:szCs w:val="20"/>
                <w:lang w:eastAsia="ru-RU"/>
              </w:rPr>
            </w:pPr>
            <w:r w:rsidRPr="00C557C1">
              <w:rPr>
                <w:rFonts w:eastAsia="Times New Roman"/>
                <w:sz w:val="20"/>
                <w:szCs w:val="20"/>
                <w:lang w:eastAsia="ru-RU"/>
              </w:rPr>
              <w:t>Y(NO)</w:t>
            </w:r>
            <w:r w:rsidRPr="00C557C1">
              <w:rPr>
                <w:rFonts w:eastAsia="Times New Roman"/>
                <w:sz w:val="20"/>
                <w:szCs w:val="20"/>
                <w:vertAlign w:val="subscript"/>
                <w:lang w:eastAsia="ru-RU"/>
              </w:rPr>
              <w:t>625</w:t>
            </w:r>
          </w:p>
        </w:tc>
        <w:tc>
          <w:tcPr>
            <w:tcW w:w="570" w:type="pct"/>
            <w:tcBorders>
              <w:top w:val="single" w:sz="4" w:space="0" w:color="auto"/>
              <w:left w:val="nil"/>
              <w:bottom w:val="single" w:sz="4" w:space="0" w:color="auto"/>
              <w:right w:val="nil"/>
            </w:tcBorders>
            <w:noWrap/>
            <w:hideMark/>
          </w:tcPr>
          <w:p w14:paraId="02D6003A"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801" w:type="pct"/>
            <w:tcBorders>
              <w:top w:val="single" w:sz="4" w:space="0" w:color="auto"/>
              <w:left w:val="nil"/>
              <w:bottom w:val="single" w:sz="4" w:space="0" w:color="auto"/>
              <w:right w:val="nil"/>
            </w:tcBorders>
            <w:noWrap/>
            <w:hideMark/>
          </w:tcPr>
          <w:p w14:paraId="66D3558F" w14:textId="77777777" w:rsidR="00970F33" w:rsidRPr="00C557C1" w:rsidRDefault="00970F33" w:rsidP="00B2281A">
            <w:pPr>
              <w:spacing w:line="260" w:lineRule="atLeast"/>
              <w:rPr>
                <w:rFonts w:eastAsia="Calibri"/>
                <w:sz w:val="20"/>
                <w:szCs w:val="20"/>
                <w:lang w:eastAsia="en-US"/>
              </w:rPr>
            </w:pPr>
            <w:r w:rsidRPr="00C557C1">
              <w:rPr>
                <w:sz w:val="20"/>
                <w:szCs w:val="20"/>
              </w:rPr>
              <w:t>0.74**</w:t>
            </w:r>
          </w:p>
        </w:tc>
        <w:tc>
          <w:tcPr>
            <w:tcW w:w="720" w:type="pct"/>
            <w:tcBorders>
              <w:top w:val="single" w:sz="4" w:space="0" w:color="auto"/>
              <w:left w:val="nil"/>
              <w:bottom w:val="single" w:sz="4" w:space="0" w:color="auto"/>
              <w:right w:val="nil"/>
            </w:tcBorders>
            <w:noWrap/>
            <w:hideMark/>
          </w:tcPr>
          <w:p w14:paraId="54863A66"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709" w:type="pct"/>
            <w:tcBorders>
              <w:top w:val="single" w:sz="4" w:space="0" w:color="auto"/>
              <w:left w:val="nil"/>
              <w:bottom w:val="single" w:sz="4" w:space="0" w:color="auto"/>
              <w:right w:val="nil"/>
            </w:tcBorders>
            <w:noWrap/>
            <w:hideMark/>
          </w:tcPr>
          <w:p w14:paraId="3C7B37AB"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636" w:type="pct"/>
            <w:tcBorders>
              <w:top w:val="single" w:sz="4" w:space="0" w:color="auto"/>
              <w:left w:val="nil"/>
              <w:bottom w:val="single" w:sz="4" w:space="0" w:color="auto"/>
              <w:right w:val="nil"/>
            </w:tcBorders>
            <w:noWrap/>
            <w:hideMark/>
          </w:tcPr>
          <w:p w14:paraId="5E136214"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r>
      <w:tr w:rsidR="00970F33" w:rsidRPr="00C557C1" w14:paraId="520BA2E1" w14:textId="77777777" w:rsidTr="00B2281A">
        <w:trPr>
          <w:trHeight w:val="300"/>
        </w:trPr>
        <w:tc>
          <w:tcPr>
            <w:tcW w:w="630" w:type="pct"/>
            <w:vMerge/>
            <w:tcBorders>
              <w:top w:val="single" w:sz="4" w:space="0" w:color="auto"/>
              <w:left w:val="nil"/>
              <w:bottom w:val="single" w:sz="4" w:space="0" w:color="auto"/>
              <w:right w:val="nil"/>
            </w:tcBorders>
            <w:hideMark/>
          </w:tcPr>
          <w:p w14:paraId="14AEC394" w14:textId="77777777" w:rsidR="00970F33" w:rsidRPr="00C557C1" w:rsidRDefault="00970F33" w:rsidP="00B2281A">
            <w:pPr>
              <w:spacing w:after="0" w:line="240" w:lineRule="auto"/>
              <w:rPr>
                <w:rFonts w:eastAsia="Times New Roman"/>
                <w:sz w:val="20"/>
                <w:szCs w:val="20"/>
                <w:lang w:eastAsia="ru-RU"/>
              </w:rPr>
            </w:pPr>
          </w:p>
        </w:tc>
        <w:tc>
          <w:tcPr>
            <w:tcW w:w="934" w:type="pct"/>
            <w:tcBorders>
              <w:top w:val="single" w:sz="4" w:space="0" w:color="auto"/>
              <w:left w:val="nil"/>
              <w:bottom w:val="single" w:sz="4" w:space="0" w:color="auto"/>
              <w:right w:val="nil"/>
            </w:tcBorders>
            <w:noWrap/>
            <w:hideMark/>
          </w:tcPr>
          <w:p w14:paraId="0F91C150" w14:textId="77777777" w:rsidR="00970F33" w:rsidRPr="00C557C1" w:rsidRDefault="00970F33" w:rsidP="00B2281A">
            <w:pPr>
              <w:spacing w:line="260" w:lineRule="atLeast"/>
              <w:rPr>
                <w:rFonts w:eastAsia="Times New Roman"/>
                <w:sz w:val="20"/>
                <w:szCs w:val="20"/>
                <w:lang w:eastAsia="ru-RU"/>
              </w:rPr>
            </w:pPr>
            <w:proofErr w:type="spellStart"/>
            <w:r w:rsidRPr="00C557C1">
              <w:rPr>
                <w:sz w:val="20"/>
                <w:szCs w:val="20"/>
              </w:rPr>
              <w:t>ETR</w:t>
            </w:r>
            <w:r w:rsidRPr="00C557C1">
              <w:rPr>
                <w:sz w:val="20"/>
                <w:szCs w:val="20"/>
                <w:vertAlign w:val="subscript"/>
              </w:rPr>
              <w:t>max</w:t>
            </w:r>
            <w:proofErr w:type="spellEnd"/>
          </w:p>
        </w:tc>
        <w:tc>
          <w:tcPr>
            <w:tcW w:w="570" w:type="pct"/>
            <w:tcBorders>
              <w:top w:val="single" w:sz="4" w:space="0" w:color="auto"/>
              <w:left w:val="nil"/>
              <w:bottom w:val="single" w:sz="4" w:space="0" w:color="auto"/>
              <w:right w:val="nil"/>
            </w:tcBorders>
            <w:noWrap/>
            <w:hideMark/>
          </w:tcPr>
          <w:p w14:paraId="65B1C48B"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801" w:type="pct"/>
            <w:tcBorders>
              <w:top w:val="single" w:sz="4" w:space="0" w:color="auto"/>
              <w:left w:val="nil"/>
              <w:bottom w:val="single" w:sz="4" w:space="0" w:color="auto"/>
              <w:right w:val="nil"/>
            </w:tcBorders>
            <w:noWrap/>
            <w:hideMark/>
          </w:tcPr>
          <w:p w14:paraId="6FCE0852" w14:textId="77777777" w:rsidR="00970F33" w:rsidRPr="00C557C1" w:rsidRDefault="00970F33" w:rsidP="00B2281A">
            <w:pPr>
              <w:spacing w:line="260" w:lineRule="atLeast"/>
              <w:rPr>
                <w:rFonts w:eastAsia="Calibri"/>
                <w:sz w:val="20"/>
                <w:szCs w:val="20"/>
                <w:lang w:eastAsia="en-US"/>
              </w:rPr>
            </w:pPr>
            <w:r w:rsidRPr="00C557C1">
              <w:rPr>
                <w:sz w:val="20"/>
                <w:szCs w:val="20"/>
              </w:rPr>
              <w:t>0.80**</w:t>
            </w:r>
          </w:p>
        </w:tc>
        <w:tc>
          <w:tcPr>
            <w:tcW w:w="720" w:type="pct"/>
            <w:tcBorders>
              <w:top w:val="single" w:sz="4" w:space="0" w:color="auto"/>
              <w:left w:val="nil"/>
              <w:bottom w:val="single" w:sz="4" w:space="0" w:color="auto"/>
              <w:right w:val="nil"/>
            </w:tcBorders>
            <w:noWrap/>
            <w:hideMark/>
          </w:tcPr>
          <w:p w14:paraId="4E222D58"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709" w:type="pct"/>
            <w:tcBorders>
              <w:top w:val="single" w:sz="4" w:space="0" w:color="auto"/>
              <w:left w:val="nil"/>
              <w:bottom w:val="single" w:sz="4" w:space="0" w:color="auto"/>
              <w:right w:val="nil"/>
            </w:tcBorders>
            <w:noWrap/>
            <w:hideMark/>
          </w:tcPr>
          <w:p w14:paraId="1032770B"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636" w:type="pct"/>
            <w:tcBorders>
              <w:top w:val="single" w:sz="4" w:space="0" w:color="auto"/>
              <w:left w:val="nil"/>
              <w:bottom w:val="single" w:sz="4" w:space="0" w:color="auto"/>
              <w:right w:val="nil"/>
            </w:tcBorders>
            <w:noWrap/>
            <w:hideMark/>
          </w:tcPr>
          <w:p w14:paraId="7B0D8DF3"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r>
      <w:tr w:rsidR="00970F33" w:rsidRPr="00C557C1" w14:paraId="1C3D9B10" w14:textId="77777777" w:rsidTr="00B2281A">
        <w:trPr>
          <w:trHeight w:val="300"/>
        </w:trPr>
        <w:tc>
          <w:tcPr>
            <w:tcW w:w="630" w:type="pct"/>
            <w:vMerge/>
            <w:tcBorders>
              <w:top w:val="single" w:sz="4" w:space="0" w:color="auto"/>
              <w:left w:val="nil"/>
              <w:bottom w:val="single" w:sz="4" w:space="0" w:color="auto"/>
              <w:right w:val="nil"/>
            </w:tcBorders>
            <w:hideMark/>
          </w:tcPr>
          <w:p w14:paraId="23747878" w14:textId="77777777" w:rsidR="00970F33" w:rsidRPr="00C557C1" w:rsidRDefault="00970F33" w:rsidP="00B2281A">
            <w:pPr>
              <w:spacing w:after="0" w:line="240" w:lineRule="auto"/>
              <w:rPr>
                <w:rFonts w:eastAsia="Times New Roman"/>
                <w:sz w:val="20"/>
                <w:szCs w:val="20"/>
                <w:lang w:eastAsia="ru-RU"/>
              </w:rPr>
            </w:pPr>
          </w:p>
        </w:tc>
        <w:tc>
          <w:tcPr>
            <w:tcW w:w="934" w:type="pct"/>
            <w:tcBorders>
              <w:top w:val="single" w:sz="4" w:space="0" w:color="auto"/>
              <w:left w:val="nil"/>
              <w:bottom w:val="single" w:sz="4" w:space="0" w:color="auto"/>
              <w:right w:val="nil"/>
            </w:tcBorders>
            <w:noWrap/>
            <w:hideMark/>
          </w:tcPr>
          <w:p w14:paraId="463E4832" w14:textId="77777777" w:rsidR="00970F33" w:rsidRPr="00C557C1" w:rsidRDefault="00970F33" w:rsidP="00B2281A">
            <w:pPr>
              <w:spacing w:line="260" w:lineRule="atLeast"/>
              <w:rPr>
                <w:rFonts w:eastAsia="Times New Roman"/>
                <w:sz w:val="20"/>
                <w:szCs w:val="20"/>
                <w:lang w:eastAsia="ru-RU"/>
              </w:rPr>
            </w:pPr>
            <w:proofErr w:type="spellStart"/>
            <w:r w:rsidRPr="00C557C1">
              <w:rPr>
                <w:rFonts w:eastAsia="Times New Roman"/>
                <w:sz w:val="20"/>
                <w:szCs w:val="20"/>
                <w:lang w:eastAsia="ru-RU"/>
              </w:rPr>
              <w:t>E</w:t>
            </w:r>
            <w:r w:rsidRPr="00C557C1">
              <w:rPr>
                <w:rFonts w:eastAsia="Times New Roman"/>
                <w:sz w:val="20"/>
                <w:szCs w:val="20"/>
                <w:vertAlign w:val="subscript"/>
                <w:lang w:eastAsia="ru-RU"/>
              </w:rPr>
              <w:t>k</w:t>
            </w:r>
            <w:proofErr w:type="spellEnd"/>
          </w:p>
        </w:tc>
        <w:tc>
          <w:tcPr>
            <w:tcW w:w="570" w:type="pct"/>
            <w:tcBorders>
              <w:top w:val="single" w:sz="4" w:space="0" w:color="auto"/>
              <w:left w:val="nil"/>
              <w:bottom w:val="single" w:sz="4" w:space="0" w:color="auto"/>
              <w:right w:val="nil"/>
            </w:tcBorders>
            <w:noWrap/>
            <w:hideMark/>
          </w:tcPr>
          <w:p w14:paraId="5E646D45"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801" w:type="pct"/>
            <w:tcBorders>
              <w:top w:val="single" w:sz="4" w:space="0" w:color="auto"/>
              <w:left w:val="nil"/>
              <w:bottom w:val="single" w:sz="4" w:space="0" w:color="auto"/>
              <w:right w:val="nil"/>
            </w:tcBorders>
            <w:noWrap/>
            <w:hideMark/>
          </w:tcPr>
          <w:p w14:paraId="4DC0D85E" w14:textId="77777777" w:rsidR="00970F33" w:rsidRPr="00C557C1" w:rsidRDefault="00970F33" w:rsidP="00B2281A">
            <w:pPr>
              <w:spacing w:line="260" w:lineRule="atLeast"/>
              <w:rPr>
                <w:rFonts w:eastAsia="Calibri"/>
                <w:sz w:val="20"/>
                <w:szCs w:val="20"/>
                <w:lang w:eastAsia="en-US"/>
              </w:rPr>
            </w:pPr>
            <w:r w:rsidRPr="00C557C1">
              <w:rPr>
                <w:sz w:val="20"/>
                <w:szCs w:val="20"/>
              </w:rPr>
              <w:t>0.78**</w:t>
            </w:r>
          </w:p>
        </w:tc>
        <w:tc>
          <w:tcPr>
            <w:tcW w:w="720" w:type="pct"/>
            <w:tcBorders>
              <w:top w:val="single" w:sz="4" w:space="0" w:color="auto"/>
              <w:left w:val="nil"/>
              <w:bottom w:val="single" w:sz="4" w:space="0" w:color="auto"/>
              <w:right w:val="nil"/>
            </w:tcBorders>
            <w:noWrap/>
            <w:hideMark/>
          </w:tcPr>
          <w:p w14:paraId="7A3961FD"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709" w:type="pct"/>
            <w:tcBorders>
              <w:top w:val="single" w:sz="4" w:space="0" w:color="auto"/>
              <w:left w:val="nil"/>
              <w:bottom w:val="single" w:sz="4" w:space="0" w:color="auto"/>
              <w:right w:val="nil"/>
            </w:tcBorders>
            <w:noWrap/>
            <w:hideMark/>
          </w:tcPr>
          <w:p w14:paraId="067130EF"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636" w:type="pct"/>
            <w:tcBorders>
              <w:top w:val="single" w:sz="4" w:space="0" w:color="auto"/>
              <w:left w:val="nil"/>
              <w:bottom w:val="single" w:sz="4" w:space="0" w:color="auto"/>
              <w:right w:val="nil"/>
            </w:tcBorders>
            <w:noWrap/>
            <w:hideMark/>
          </w:tcPr>
          <w:p w14:paraId="3F6EE46A"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r>
      <w:tr w:rsidR="00970F33" w:rsidRPr="00C557C1" w14:paraId="2A9197F9" w14:textId="77777777" w:rsidTr="00B2281A">
        <w:trPr>
          <w:trHeight w:val="300"/>
        </w:trPr>
        <w:tc>
          <w:tcPr>
            <w:tcW w:w="630" w:type="pct"/>
            <w:vMerge w:val="restart"/>
            <w:tcBorders>
              <w:top w:val="single" w:sz="4" w:space="0" w:color="auto"/>
              <w:left w:val="nil"/>
              <w:bottom w:val="single" w:sz="4" w:space="0" w:color="auto"/>
              <w:right w:val="nil"/>
            </w:tcBorders>
            <w:hideMark/>
          </w:tcPr>
          <w:p w14:paraId="02728584" w14:textId="77777777" w:rsidR="00970F33" w:rsidRPr="00C557C1" w:rsidRDefault="00970F33" w:rsidP="00B2281A">
            <w:pPr>
              <w:spacing w:line="260" w:lineRule="atLeast"/>
              <w:rPr>
                <w:rFonts w:eastAsia="Times New Roman"/>
                <w:sz w:val="20"/>
                <w:szCs w:val="20"/>
                <w:lang w:eastAsia="ru-RU"/>
              </w:rPr>
            </w:pPr>
            <w:r w:rsidRPr="00C557C1">
              <w:rPr>
                <w:rFonts w:eastAsia="Times New Roman"/>
                <w:sz w:val="20"/>
                <w:szCs w:val="20"/>
                <w:lang w:eastAsia="ru-RU"/>
              </w:rPr>
              <w:t xml:space="preserve">Flag-leaf formation  </w:t>
            </w:r>
          </w:p>
        </w:tc>
        <w:tc>
          <w:tcPr>
            <w:tcW w:w="934" w:type="pct"/>
            <w:tcBorders>
              <w:top w:val="single" w:sz="4" w:space="0" w:color="auto"/>
              <w:left w:val="nil"/>
              <w:bottom w:val="single" w:sz="4" w:space="0" w:color="auto"/>
              <w:right w:val="nil"/>
            </w:tcBorders>
            <w:noWrap/>
            <w:hideMark/>
          </w:tcPr>
          <w:p w14:paraId="7E78BE1D" w14:textId="77777777" w:rsidR="00970F33" w:rsidRPr="00C557C1" w:rsidRDefault="00970F33" w:rsidP="00B2281A">
            <w:pPr>
              <w:spacing w:line="260" w:lineRule="atLeast"/>
              <w:rPr>
                <w:rFonts w:eastAsia="Times New Roman"/>
                <w:sz w:val="20"/>
                <w:szCs w:val="20"/>
                <w:lang w:eastAsia="ru-RU"/>
              </w:rPr>
            </w:pPr>
            <w:proofErr w:type="spellStart"/>
            <w:r w:rsidRPr="00C557C1">
              <w:rPr>
                <w:sz w:val="20"/>
                <w:szCs w:val="20"/>
              </w:rPr>
              <w:t>ETR</w:t>
            </w:r>
            <w:r w:rsidRPr="00C557C1">
              <w:rPr>
                <w:sz w:val="20"/>
                <w:szCs w:val="20"/>
                <w:vertAlign w:val="subscript"/>
              </w:rPr>
              <w:t>max</w:t>
            </w:r>
            <w:proofErr w:type="spellEnd"/>
          </w:p>
        </w:tc>
        <w:tc>
          <w:tcPr>
            <w:tcW w:w="570" w:type="pct"/>
            <w:tcBorders>
              <w:top w:val="single" w:sz="4" w:space="0" w:color="auto"/>
              <w:left w:val="nil"/>
              <w:bottom w:val="single" w:sz="4" w:space="0" w:color="auto"/>
              <w:right w:val="nil"/>
            </w:tcBorders>
            <w:noWrap/>
            <w:hideMark/>
          </w:tcPr>
          <w:p w14:paraId="79226255"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801" w:type="pct"/>
            <w:tcBorders>
              <w:top w:val="single" w:sz="4" w:space="0" w:color="auto"/>
              <w:left w:val="nil"/>
              <w:bottom w:val="single" w:sz="4" w:space="0" w:color="auto"/>
              <w:right w:val="nil"/>
            </w:tcBorders>
            <w:noWrap/>
            <w:hideMark/>
          </w:tcPr>
          <w:p w14:paraId="37235B21" w14:textId="77777777" w:rsidR="00970F33" w:rsidRPr="00C557C1" w:rsidRDefault="00970F33" w:rsidP="00B2281A">
            <w:pPr>
              <w:spacing w:line="260" w:lineRule="atLeast"/>
              <w:rPr>
                <w:rFonts w:eastAsia="Calibri"/>
                <w:sz w:val="20"/>
                <w:szCs w:val="20"/>
                <w:lang w:eastAsia="en-US"/>
              </w:rPr>
            </w:pPr>
            <w:r w:rsidRPr="00C557C1">
              <w:rPr>
                <w:sz w:val="20"/>
                <w:szCs w:val="20"/>
              </w:rPr>
              <w:t>–0.74**</w:t>
            </w:r>
          </w:p>
        </w:tc>
        <w:tc>
          <w:tcPr>
            <w:tcW w:w="720" w:type="pct"/>
            <w:tcBorders>
              <w:top w:val="single" w:sz="4" w:space="0" w:color="auto"/>
              <w:left w:val="nil"/>
              <w:bottom w:val="single" w:sz="4" w:space="0" w:color="auto"/>
              <w:right w:val="nil"/>
            </w:tcBorders>
            <w:noWrap/>
            <w:hideMark/>
          </w:tcPr>
          <w:p w14:paraId="626BCB64"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709" w:type="pct"/>
            <w:tcBorders>
              <w:top w:val="single" w:sz="4" w:space="0" w:color="auto"/>
              <w:left w:val="nil"/>
              <w:bottom w:val="single" w:sz="4" w:space="0" w:color="auto"/>
              <w:right w:val="nil"/>
            </w:tcBorders>
            <w:noWrap/>
            <w:hideMark/>
          </w:tcPr>
          <w:p w14:paraId="5C66A354"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636" w:type="pct"/>
            <w:tcBorders>
              <w:top w:val="single" w:sz="4" w:space="0" w:color="auto"/>
              <w:left w:val="nil"/>
              <w:bottom w:val="single" w:sz="4" w:space="0" w:color="auto"/>
              <w:right w:val="nil"/>
            </w:tcBorders>
            <w:noWrap/>
            <w:hideMark/>
          </w:tcPr>
          <w:p w14:paraId="6894ABD9"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r>
      <w:tr w:rsidR="00970F33" w:rsidRPr="00C557C1" w14:paraId="6BB1E7F2" w14:textId="77777777" w:rsidTr="00B2281A">
        <w:trPr>
          <w:trHeight w:val="300"/>
        </w:trPr>
        <w:tc>
          <w:tcPr>
            <w:tcW w:w="630" w:type="pct"/>
            <w:vMerge/>
            <w:tcBorders>
              <w:top w:val="single" w:sz="4" w:space="0" w:color="auto"/>
              <w:left w:val="nil"/>
              <w:bottom w:val="single" w:sz="4" w:space="0" w:color="auto"/>
              <w:right w:val="nil"/>
            </w:tcBorders>
            <w:hideMark/>
          </w:tcPr>
          <w:p w14:paraId="2E7FF3C4" w14:textId="77777777" w:rsidR="00970F33" w:rsidRPr="00C557C1" w:rsidRDefault="00970F33" w:rsidP="00B2281A">
            <w:pPr>
              <w:spacing w:after="0" w:line="240" w:lineRule="auto"/>
              <w:rPr>
                <w:rFonts w:eastAsia="Times New Roman"/>
                <w:sz w:val="20"/>
                <w:szCs w:val="20"/>
                <w:lang w:eastAsia="ru-RU"/>
              </w:rPr>
            </w:pPr>
          </w:p>
        </w:tc>
        <w:tc>
          <w:tcPr>
            <w:tcW w:w="934" w:type="pct"/>
            <w:tcBorders>
              <w:top w:val="single" w:sz="4" w:space="0" w:color="auto"/>
              <w:left w:val="nil"/>
              <w:bottom w:val="single" w:sz="4" w:space="0" w:color="auto"/>
              <w:right w:val="nil"/>
            </w:tcBorders>
            <w:noWrap/>
            <w:hideMark/>
          </w:tcPr>
          <w:p w14:paraId="7DB7648A" w14:textId="77777777" w:rsidR="00970F33" w:rsidRPr="00C557C1" w:rsidRDefault="00970F33" w:rsidP="00B2281A">
            <w:pPr>
              <w:spacing w:line="260" w:lineRule="atLeast"/>
              <w:rPr>
                <w:rFonts w:eastAsia="Times New Roman"/>
                <w:sz w:val="20"/>
                <w:szCs w:val="20"/>
                <w:lang w:eastAsia="ru-RU"/>
              </w:rPr>
            </w:pPr>
            <w:r w:rsidRPr="00C557C1">
              <w:rPr>
                <w:rFonts w:eastAsia="Times New Roman"/>
                <w:sz w:val="20"/>
                <w:szCs w:val="20"/>
                <w:lang w:eastAsia="ru-RU"/>
              </w:rPr>
              <w:t>α</w:t>
            </w:r>
          </w:p>
        </w:tc>
        <w:tc>
          <w:tcPr>
            <w:tcW w:w="570" w:type="pct"/>
            <w:tcBorders>
              <w:top w:val="single" w:sz="4" w:space="0" w:color="auto"/>
              <w:left w:val="nil"/>
              <w:bottom w:val="single" w:sz="4" w:space="0" w:color="auto"/>
              <w:right w:val="nil"/>
            </w:tcBorders>
            <w:noWrap/>
            <w:hideMark/>
          </w:tcPr>
          <w:p w14:paraId="7F990721"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801" w:type="pct"/>
            <w:tcBorders>
              <w:top w:val="single" w:sz="4" w:space="0" w:color="auto"/>
              <w:left w:val="nil"/>
              <w:bottom w:val="single" w:sz="4" w:space="0" w:color="auto"/>
              <w:right w:val="nil"/>
            </w:tcBorders>
            <w:noWrap/>
            <w:hideMark/>
          </w:tcPr>
          <w:p w14:paraId="2CB366B7" w14:textId="77777777" w:rsidR="00970F33" w:rsidRPr="00C557C1" w:rsidRDefault="00970F33" w:rsidP="00B2281A">
            <w:pPr>
              <w:spacing w:line="260" w:lineRule="atLeast"/>
              <w:rPr>
                <w:rFonts w:eastAsia="Calibri"/>
                <w:sz w:val="20"/>
                <w:szCs w:val="20"/>
                <w:lang w:eastAsia="en-US"/>
              </w:rPr>
            </w:pPr>
            <w:r w:rsidRPr="00C557C1">
              <w:rPr>
                <w:sz w:val="20"/>
                <w:szCs w:val="20"/>
              </w:rPr>
              <w:t>–0.69*</w:t>
            </w:r>
          </w:p>
        </w:tc>
        <w:tc>
          <w:tcPr>
            <w:tcW w:w="720" w:type="pct"/>
            <w:tcBorders>
              <w:top w:val="single" w:sz="4" w:space="0" w:color="auto"/>
              <w:left w:val="nil"/>
              <w:bottom w:val="single" w:sz="4" w:space="0" w:color="auto"/>
              <w:right w:val="nil"/>
            </w:tcBorders>
            <w:noWrap/>
            <w:hideMark/>
          </w:tcPr>
          <w:p w14:paraId="79783958"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709" w:type="pct"/>
            <w:tcBorders>
              <w:top w:val="single" w:sz="4" w:space="0" w:color="auto"/>
              <w:left w:val="nil"/>
              <w:bottom w:val="single" w:sz="4" w:space="0" w:color="auto"/>
              <w:right w:val="nil"/>
            </w:tcBorders>
            <w:noWrap/>
            <w:hideMark/>
          </w:tcPr>
          <w:p w14:paraId="143CCE05"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636" w:type="pct"/>
            <w:tcBorders>
              <w:top w:val="single" w:sz="4" w:space="0" w:color="auto"/>
              <w:left w:val="nil"/>
              <w:bottom w:val="single" w:sz="4" w:space="0" w:color="auto"/>
              <w:right w:val="nil"/>
            </w:tcBorders>
            <w:noWrap/>
            <w:hideMark/>
          </w:tcPr>
          <w:p w14:paraId="7BB862C4"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r>
      <w:tr w:rsidR="00970F33" w:rsidRPr="00C557C1" w14:paraId="053751F1" w14:textId="77777777" w:rsidTr="00B2281A">
        <w:trPr>
          <w:trHeight w:val="300"/>
        </w:trPr>
        <w:tc>
          <w:tcPr>
            <w:tcW w:w="630" w:type="pct"/>
            <w:vMerge/>
            <w:tcBorders>
              <w:top w:val="single" w:sz="4" w:space="0" w:color="auto"/>
              <w:left w:val="nil"/>
              <w:bottom w:val="single" w:sz="4" w:space="0" w:color="auto"/>
              <w:right w:val="nil"/>
            </w:tcBorders>
            <w:hideMark/>
          </w:tcPr>
          <w:p w14:paraId="231C1ABD" w14:textId="77777777" w:rsidR="00970F33" w:rsidRPr="00C557C1" w:rsidRDefault="00970F33" w:rsidP="00B2281A">
            <w:pPr>
              <w:spacing w:after="0" w:line="240" w:lineRule="auto"/>
              <w:rPr>
                <w:rFonts w:eastAsia="Times New Roman"/>
                <w:sz w:val="20"/>
                <w:szCs w:val="20"/>
                <w:lang w:eastAsia="ru-RU"/>
              </w:rPr>
            </w:pPr>
          </w:p>
        </w:tc>
        <w:tc>
          <w:tcPr>
            <w:tcW w:w="934" w:type="pct"/>
            <w:tcBorders>
              <w:top w:val="single" w:sz="4" w:space="0" w:color="auto"/>
              <w:left w:val="nil"/>
              <w:bottom w:val="single" w:sz="4" w:space="0" w:color="auto"/>
              <w:right w:val="nil"/>
            </w:tcBorders>
            <w:noWrap/>
            <w:hideMark/>
          </w:tcPr>
          <w:p w14:paraId="083A86D3" w14:textId="77777777" w:rsidR="00970F33" w:rsidRPr="00C557C1" w:rsidRDefault="00970F33" w:rsidP="00B2281A">
            <w:pPr>
              <w:spacing w:line="260" w:lineRule="atLeast"/>
              <w:rPr>
                <w:rFonts w:eastAsia="Times New Roman"/>
                <w:sz w:val="20"/>
                <w:szCs w:val="20"/>
                <w:lang w:eastAsia="ru-RU"/>
              </w:rPr>
            </w:pPr>
            <w:proofErr w:type="spellStart"/>
            <w:r w:rsidRPr="00C557C1">
              <w:rPr>
                <w:rFonts w:eastAsia="Times New Roman"/>
                <w:sz w:val="20"/>
                <w:szCs w:val="20"/>
                <w:lang w:eastAsia="ru-RU"/>
              </w:rPr>
              <w:t>E</w:t>
            </w:r>
            <w:r w:rsidRPr="00C557C1">
              <w:rPr>
                <w:rFonts w:eastAsia="Times New Roman"/>
                <w:sz w:val="20"/>
                <w:szCs w:val="20"/>
                <w:vertAlign w:val="subscript"/>
                <w:lang w:eastAsia="ru-RU"/>
              </w:rPr>
              <w:t>k</w:t>
            </w:r>
            <w:proofErr w:type="spellEnd"/>
          </w:p>
        </w:tc>
        <w:tc>
          <w:tcPr>
            <w:tcW w:w="570" w:type="pct"/>
            <w:tcBorders>
              <w:top w:val="single" w:sz="4" w:space="0" w:color="auto"/>
              <w:left w:val="nil"/>
              <w:bottom w:val="single" w:sz="4" w:space="0" w:color="auto"/>
              <w:right w:val="nil"/>
            </w:tcBorders>
            <w:noWrap/>
            <w:hideMark/>
          </w:tcPr>
          <w:p w14:paraId="48530F0A"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801" w:type="pct"/>
            <w:tcBorders>
              <w:top w:val="single" w:sz="4" w:space="0" w:color="auto"/>
              <w:left w:val="nil"/>
              <w:bottom w:val="single" w:sz="4" w:space="0" w:color="auto"/>
              <w:right w:val="nil"/>
            </w:tcBorders>
            <w:noWrap/>
            <w:hideMark/>
          </w:tcPr>
          <w:p w14:paraId="3574C9ED"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720" w:type="pct"/>
            <w:tcBorders>
              <w:top w:val="single" w:sz="4" w:space="0" w:color="auto"/>
              <w:left w:val="nil"/>
              <w:bottom w:val="single" w:sz="4" w:space="0" w:color="auto"/>
              <w:right w:val="nil"/>
            </w:tcBorders>
            <w:noWrap/>
            <w:hideMark/>
          </w:tcPr>
          <w:p w14:paraId="5C735406" w14:textId="77777777" w:rsidR="00970F33" w:rsidRPr="00C557C1" w:rsidRDefault="00970F33" w:rsidP="00B2281A">
            <w:pPr>
              <w:spacing w:line="260" w:lineRule="atLeast"/>
              <w:rPr>
                <w:rFonts w:eastAsia="Calibri"/>
                <w:sz w:val="20"/>
                <w:szCs w:val="20"/>
                <w:lang w:eastAsia="en-US"/>
              </w:rPr>
            </w:pPr>
            <w:r w:rsidRPr="00C557C1">
              <w:rPr>
                <w:sz w:val="20"/>
                <w:szCs w:val="20"/>
              </w:rPr>
              <w:t>–0.77**</w:t>
            </w:r>
          </w:p>
        </w:tc>
        <w:tc>
          <w:tcPr>
            <w:tcW w:w="709" w:type="pct"/>
            <w:tcBorders>
              <w:top w:val="single" w:sz="4" w:space="0" w:color="auto"/>
              <w:left w:val="nil"/>
              <w:bottom w:val="single" w:sz="4" w:space="0" w:color="auto"/>
              <w:right w:val="nil"/>
            </w:tcBorders>
            <w:noWrap/>
            <w:hideMark/>
          </w:tcPr>
          <w:p w14:paraId="4F6B5C98"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636" w:type="pct"/>
            <w:tcBorders>
              <w:top w:val="single" w:sz="4" w:space="0" w:color="auto"/>
              <w:left w:val="nil"/>
              <w:bottom w:val="single" w:sz="4" w:space="0" w:color="auto"/>
              <w:right w:val="nil"/>
            </w:tcBorders>
            <w:noWrap/>
            <w:hideMark/>
          </w:tcPr>
          <w:p w14:paraId="64CC1B11"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r>
      <w:tr w:rsidR="00970F33" w:rsidRPr="00C557C1" w14:paraId="74414A1A" w14:textId="77777777" w:rsidTr="00B2281A">
        <w:trPr>
          <w:trHeight w:val="300"/>
        </w:trPr>
        <w:tc>
          <w:tcPr>
            <w:tcW w:w="630" w:type="pct"/>
            <w:vMerge/>
            <w:tcBorders>
              <w:top w:val="single" w:sz="4" w:space="0" w:color="auto"/>
              <w:left w:val="nil"/>
              <w:bottom w:val="single" w:sz="4" w:space="0" w:color="auto"/>
              <w:right w:val="nil"/>
            </w:tcBorders>
            <w:hideMark/>
          </w:tcPr>
          <w:p w14:paraId="364F3A35" w14:textId="77777777" w:rsidR="00970F33" w:rsidRPr="00C557C1" w:rsidRDefault="00970F33" w:rsidP="00B2281A">
            <w:pPr>
              <w:spacing w:after="0" w:line="240" w:lineRule="auto"/>
              <w:rPr>
                <w:rFonts w:eastAsia="Times New Roman"/>
                <w:sz w:val="20"/>
                <w:szCs w:val="20"/>
                <w:lang w:eastAsia="ru-RU"/>
              </w:rPr>
            </w:pPr>
          </w:p>
        </w:tc>
        <w:tc>
          <w:tcPr>
            <w:tcW w:w="934" w:type="pct"/>
            <w:tcBorders>
              <w:top w:val="single" w:sz="4" w:space="0" w:color="auto"/>
              <w:left w:val="nil"/>
              <w:bottom w:val="single" w:sz="4" w:space="0" w:color="auto"/>
              <w:right w:val="nil"/>
            </w:tcBorders>
            <w:noWrap/>
            <w:hideMark/>
          </w:tcPr>
          <w:p w14:paraId="1878CAD0" w14:textId="77777777" w:rsidR="00970F33" w:rsidRPr="00C557C1" w:rsidRDefault="00970F33" w:rsidP="00B2281A">
            <w:pPr>
              <w:spacing w:line="260" w:lineRule="atLeast"/>
              <w:rPr>
                <w:rFonts w:eastAsia="Times New Roman"/>
                <w:sz w:val="20"/>
                <w:szCs w:val="20"/>
                <w:lang w:eastAsia="ru-RU"/>
              </w:rPr>
            </w:pPr>
            <w:r w:rsidRPr="00C557C1">
              <w:rPr>
                <w:rFonts w:eastAsia="Times New Roman"/>
                <w:sz w:val="20"/>
                <w:szCs w:val="20"/>
                <w:lang w:eastAsia="ru-RU"/>
              </w:rPr>
              <w:t>Y(II)</w:t>
            </w:r>
            <w:r w:rsidRPr="00C557C1">
              <w:rPr>
                <w:rFonts w:eastAsia="Times New Roman"/>
                <w:sz w:val="20"/>
                <w:szCs w:val="20"/>
                <w:vertAlign w:val="subscript"/>
                <w:lang w:eastAsia="ru-RU"/>
              </w:rPr>
              <w:t>625</w:t>
            </w:r>
          </w:p>
        </w:tc>
        <w:tc>
          <w:tcPr>
            <w:tcW w:w="570" w:type="pct"/>
            <w:tcBorders>
              <w:top w:val="single" w:sz="4" w:space="0" w:color="auto"/>
              <w:left w:val="nil"/>
              <w:bottom w:val="single" w:sz="4" w:space="0" w:color="auto"/>
              <w:right w:val="nil"/>
            </w:tcBorders>
            <w:noWrap/>
            <w:hideMark/>
          </w:tcPr>
          <w:p w14:paraId="6D0952F2"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801" w:type="pct"/>
            <w:tcBorders>
              <w:top w:val="single" w:sz="4" w:space="0" w:color="auto"/>
              <w:left w:val="nil"/>
              <w:bottom w:val="single" w:sz="4" w:space="0" w:color="auto"/>
              <w:right w:val="nil"/>
            </w:tcBorders>
            <w:noWrap/>
            <w:hideMark/>
          </w:tcPr>
          <w:p w14:paraId="19BFEF66" w14:textId="77777777" w:rsidR="00970F33" w:rsidRPr="00C557C1" w:rsidRDefault="00970F33" w:rsidP="00B2281A">
            <w:pPr>
              <w:spacing w:line="260" w:lineRule="atLeast"/>
              <w:rPr>
                <w:rFonts w:eastAsia="Calibri"/>
                <w:sz w:val="20"/>
                <w:szCs w:val="20"/>
                <w:lang w:eastAsia="en-US"/>
              </w:rPr>
            </w:pPr>
            <w:r w:rsidRPr="00C557C1">
              <w:rPr>
                <w:sz w:val="20"/>
                <w:szCs w:val="20"/>
              </w:rPr>
              <w:t>–0.78**</w:t>
            </w:r>
          </w:p>
        </w:tc>
        <w:tc>
          <w:tcPr>
            <w:tcW w:w="720" w:type="pct"/>
            <w:tcBorders>
              <w:top w:val="single" w:sz="4" w:space="0" w:color="auto"/>
              <w:left w:val="nil"/>
              <w:bottom w:val="single" w:sz="4" w:space="0" w:color="auto"/>
              <w:right w:val="nil"/>
            </w:tcBorders>
            <w:noWrap/>
            <w:hideMark/>
          </w:tcPr>
          <w:p w14:paraId="734FDBAA"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709" w:type="pct"/>
            <w:tcBorders>
              <w:top w:val="single" w:sz="4" w:space="0" w:color="auto"/>
              <w:left w:val="nil"/>
              <w:bottom w:val="single" w:sz="4" w:space="0" w:color="auto"/>
              <w:right w:val="nil"/>
            </w:tcBorders>
            <w:noWrap/>
            <w:hideMark/>
          </w:tcPr>
          <w:p w14:paraId="59AB1120"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636" w:type="pct"/>
            <w:tcBorders>
              <w:top w:val="single" w:sz="4" w:space="0" w:color="auto"/>
              <w:left w:val="nil"/>
              <w:bottom w:val="single" w:sz="4" w:space="0" w:color="auto"/>
              <w:right w:val="nil"/>
            </w:tcBorders>
            <w:noWrap/>
            <w:hideMark/>
          </w:tcPr>
          <w:p w14:paraId="12BCE8F2"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r>
      <w:tr w:rsidR="00970F33" w:rsidRPr="00C557C1" w14:paraId="554D1F8F" w14:textId="77777777" w:rsidTr="00B2281A">
        <w:trPr>
          <w:trHeight w:val="300"/>
        </w:trPr>
        <w:tc>
          <w:tcPr>
            <w:tcW w:w="630" w:type="pct"/>
            <w:vMerge w:val="restart"/>
            <w:tcBorders>
              <w:top w:val="single" w:sz="4" w:space="0" w:color="auto"/>
              <w:left w:val="nil"/>
              <w:bottom w:val="single" w:sz="4" w:space="0" w:color="auto"/>
              <w:right w:val="nil"/>
            </w:tcBorders>
            <w:hideMark/>
          </w:tcPr>
          <w:p w14:paraId="07C4BE83" w14:textId="77777777" w:rsidR="00970F33" w:rsidRPr="00C557C1" w:rsidRDefault="00970F33" w:rsidP="00B2281A">
            <w:pPr>
              <w:spacing w:line="260" w:lineRule="atLeast"/>
              <w:rPr>
                <w:rFonts w:eastAsia="Times New Roman"/>
                <w:sz w:val="20"/>
                <w:szCs w:val="20"/>
                <w:lang w:eastAsia="ru-RU"/>
              </w:rPr>
            </w:pPr>
            <w:r w:rsidRPr="00C557C1">
              <w:rPr>
                <w:rFonts w:eastAsia="Times New Roman"/>
                <w:sz w:val="20"/>
                <w:szCs w:val="20"/>
                <w:lang w:eastAsia="ru-RU"/>
              </w:rPr>
              <w:t>Anthesis, developed flag-leaf</w:t>
            </w:r>
          </w:p>
        </w:tc>
        <w:tc>
          <w:tcPr>
            <w:tcW w:w="934" w:type="pct"/>
            <w:tcBorders>
              <w:top w:val="single" w:sz="4" w:space="0" w:color="auto"/>
              <w:left w:val="nil"/>
              <w:bottom w:val="single" w:sz="4" w:space="0" w:color="auto"/>
              <w:right w:val="nil"/>
            </w:tcBorders>
            <w:noWrap/>
            <w:hideMark/>
          </w:tcPr>
          <w:p w14:paraId="21CD4CD5" w14:textId="77777777" w:rsidR="00970F33" w:rsidRPr="00C557C1" w:rsidRDefault="00970F33" w:rsidP="00B2281A">
            <w:pPr>
              <w:spacing w:line="260" w:lineRule="atLeast"/>
              <w:rPr>
                <w:rFonts w:eastAsia="Times New Roman"/>
                <w:sz w:val="20"/>
                <w:szCs w:val="20"/>
                <w:lang w:eastAsia="ru-RU"/>
              </w:rPr>
            </w:pPr>
            <w:r w:rsidRPr="00C557C1">
              <w:rPr>
                <w:rFonts w:eastAsia="Times New Roman"/>
                <w:sz w:val="20"/>
                <w:szCs w:val="20"/>
                <w:lang w:eastAsia="ru-RU"/>
              </w:rPr>
              <w:t>Y(NO)</w:t>
            </w:r>
            <w:r w:rsidRPr="00C557C1">
              <w:rPr>
                <w:rFonts w:eastAsia="Times New Roman"/>
                <w:sz w:val="20"/>
                <w:szCs w:val="20"/>
                <w:vertAlign w:val="subscript"/>
                <w:lang w:eastAsia="ru-RU"/>
              </w:rPr>
              <w:t>625</w:t>
            </w:r>
          </w:p>
        </w:tc>
        <w:tc>
          <w:tcPr>
            <w:tcW w:w="570" w:type="pct"/>
            <w:tcBorders>
              <w:top w:val="single" w:sz="4" w:space="0" w:color="auto"/>
              <w:left w:val="nil"/>
              <w:bottom w:val="single" w:sz="4" w:space="0" w:color="auto"/>
              <w:right w:val="nil"/>
            </w:tcBorders>
            <w:noWrap/>
            <w:hideMark/>
          </w:tcPr>
          <w:p w14:paraId="5C09456B"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801" w:type="pct"/>
            <w:tcBorders>
              <w:top w:val="single" w:sz="4" w:space="0" w:color="auto"/>
              <w:left w:val="nil"/>
              <w:bottom w:val="single" w:sz="4" w:space="0" w:color="auto"/>
              <w:right w:val="nil"/>
            </w:tcBorders>
            <w:noWrap/>
            <w:hideMark/>
          </w:tcPr>
          <w:p w14:paraId="6AB902FE"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720" w:type="pct"/>
            <w:tcBorders>
              <w:top w:val="single" w:sz="4" w:space="0" w:color="auto"/>
              <w:left w:val="nil"/>
              <w:bottom w:val="single" w:sz="4" w:space="0" w:color="auto"/>
              <w:right w:val="nil"/>
            </w:tcBorders>
            <w:noWrap/>
            <w:hideMark/>
          </w:tcPr>
          <w:p w14:paraId="56B4C468"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709" w:type="pct"/>
            <w:tcBorders>
              <w:top w:val="single" w:sz="4" w:space="0" w:color="auto"/>
              <w:left w:val="nil"/>
              <w:bottom w:val="single" w:sz="4" w:space="0" w:color="auto"/>
              <w:right w:val="nil"/>
            </w:tcBorders>
            <w:noWrap/>
            <w:hideMark/>
          </w:tcPr>
          <w:p w14:paraId="6FDFA677"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636" w:type="pct"/>
            <w:tcBorders>
              <w:top w:val="single" w:sz="4" w:space="0" w:color="auto"/>
              <w:left w:val="nil"/>
              <w:bottom w:val="single" w:sz="4" w:space="0" w:color="auto"/>
              <w:right w:val="nil"/>
            </w:tcBorders>
            <w:noWrap/>
            <w:hideMark/>
          </w:tcPr>
          <w:p w14:paraId="72021784" w14:textId="77777777" w:rsidR="00970F33" w:rsidRPr="00C557C1" w:rsidRDefault="00970F33" w:rsidP="00B2281A">
            <w:pPr>
              <w:spacing w:line="260" w:lineRule="atLeast"/>
              <w:rPr>
                <w:rFonts w:eastAsia="Calibri"/>
                <w:sz w:val="20"/>
                <w:szCs w:val="20"/>
                <w:lang w:eastAsia="en-US"/>
              </w:rPr>
            </w:pPr>
            <w:r w:rsidRPr="00C557C1">
              <w:rPr>
                <w:sz w:val="20"/>
                <w:szCs w:val="20"/>
              </w:rPr>
              <w:t>–0.66*</w:t>
            </w:r>
          </w:p>
        </w:tc>
      </w:tr>
      <w:tr w:rsidR="00970F33" w:rsidRPr="00C557C1" w14:paraId="73C9F6F2" w14:textId="77777777" w:rsidTr="00B2281A">
        <w:trPr>
          <w:trHeight w:val="300"/>
        </w:trPr>
        <w:tc>
          <w:tcPr>
            <w:tcW w:w="630" w:type="pct"/>
            <w:vMerge/>
            <w:tcBorders>
              <w:top w:val="single" w:sz="4" w:space="0" w:color="auto"/>
              <w:left w:val="nil"/>
              <w:bottom w:val="single" w:sz="4" w:space="0" w:color="auto"/>
              <w:right w:val="nil"/>
            </w:tcBorders>
            <w:hideMark/>
          </w:tcPr>
          <w:p w14:paraId="0AC08D7D" w14:textId="77777777" w:rsidR="00970F33" w:rsidRPr="00C557C1" w:rsidRDefault="00970F33" w:rsidP="00B2281A">
            <w:pPr>
              <w:spacing w:after="0" w:line="240" w:lineRule="auto"/>
              <w:rPr>
                <w:rFonts w:eastAsia="Times New Roman"/>
                <w:sz w:val="20"/>
                <w:szCs w:val="20"/>
                <w:lang w:eastAsia="ru-RU"/>
              </w:rPr>
            </w:pPr>
          </w:p>
        </w:tc>
        <w:tc>
          <w:tcPr>
            <w:tcW w:w="934" w:type="pct"/>
            <w:tcBorders>
              <w:top w:val="single" w:sz="4" w:space="0" w:color="auto"/>
              <w:left w:val="nil"/>
              <w:bottom w:val="single" w:sz="4" w:space="0" w:color="auto"/>
              <w:right w:val="nil"/>
            </w:tcBorders>
            <w:noWrap/>
            <w:hideMark/>
          </w:tcPr>
          <w:p w14:paraId="1800B467" w14:textId="77777777" w:rsidR="00970F33" w:rsidRPr="00C557C1" w:rsidRDefault="00970F33" w:rsidP="00B2281A">
            <w:pPr>
              <w:spacing w:line="260" w:lineRule="atLeast"/>
              <w:rPr>
                <w:rFonts w:eastAsia="Times New Roman"/>
                <w:sz w:val="20"/>
                <w:szCs w:val="20"/>
                <w:lang w:eastAsia="ru-RU"/>
              </w:rPr>
            </w:pPr>
            <w:r w:rsidRPr="00C557C1">
              <w:rPr>
                <w:rFonts w:eastAsia="Times New Roman"/>
                <w:sz w:val="20"/>
                <w:szCs w:val="20"/>
                <w:lang w:eastAsia="ru-RU"/>
              </w:rPr>
              <w:t>Y(II)</w:t>
            </w:r>
            <w:r w:rsidRPr="00C557C1">
              <w:rPr>
                <w:rFonts w:eastAsia="Times New Roman"/>
                <w:sz w:val="20"/>
                <w:szCs w:val="20"/>
                <w:vertAlign w:val="subscript"/>
                <w:lang w:eastAsia="ru-RU"/>
              </w:rPr>
              <w:t>65</w:t>
            </w:r>
          </w:p>
        </w:tc>
        <w:tc>
          <w:tcPr>
            <w:tcW w:w="570" w:type="pct"/>
            <w:tcBorders>
              <w:top w:val="single" w:sz="4" w:space="0" w:color="auto"/>
              <w:left w:val="nil"/>
              <w:bottom w:val="single" w:sz="4" w:space="0" w:color="auto"/>
              <w:right w:val="nil"/>
            </w:tcBorders>
            <w:noWrap/>
            <w:hideMark/>
          </w:tcPr>
          <w:p w14:paraId="6E158B89"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801" w:type="pct"/>
            <w:tcBorders>
              <w:top w:val="single" w:sz="4" w:space="0" w:color="auto"/>
              <w:left w:val="nil"/>
              <w:bottom w:val="single" w:sz="4" w:space="0" w:color="auto"/>
              <w:right w:val="nil"/>
            </w:tcBorders>
            <w:noWrap/>
            <w:hideMark/>
          </w:tcPr>
          <w:p w14:paraId="4B9708D8"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720" w:type="pct"/>
            <w:tcBorders>
              <w:top w:val="single" w:sz="4" w:space="0" w:color="auto"/>
              <w:left w:val="nil"/>
              <w:bottom w:val="single" w:sz="4" w:space="0" w:color="auto"/>
              <w:right w:val="nil"/>
            </w:tcBorders>
            <w:noWrap/>
            <w:hideMark/>
          </w:tcPr>
          <w:p w14:paraId="7C3B2CE4"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709" w:type="pct"/>
            <w:tcBorders>
              <w:top w:val="single" w:sz="4" w:space="0" w:color="auto"/>
              <w:left w:val="nil"/>
              <w:bottom w:val="single" w:sz="4" w:space="0" w:color="auto"/>
              <w:right w:val="nil"/>
            </w:tcBorders>
            <w:noWrap/>
            <w:hideMark/>
          </w:tcPr>
          <w:p w14:paraId="053632A6"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636" w:type="pct"/>
            <w:tcBorders>
              <w:top w:val="single" w:sz="4" w:space="0" w:color="auto"/>
              <w:left w:val="nil"/>
              <w:bottom w:val="single" w:sz="4" w:space="0" w:color="auto"/>
              <w:right w:val="nil"/>
            </w:tcBorders>
            <w:noWrap/>
            <w:hideMark/>
          </w:tcPr>
          <w:p w14:paraId="0B41BBB0" w14:textId="77777777" w:rsidR="00970F33" w:rsidRPr="00C557C1" w:rsidRDefault="00970F33" w:rsidP="00B2281A">
            <w:pPr>
              <w:spacing w:line="260" w:lineRule="atLeast"/>
              <w:rPr>
                <w:rFonts w:eastAsia="Calibri"/>
                <w:sz w:val="20"/>
                <w:szCs w:val="20"/>
                <w:lang w:eastAsia="en-US"/>
              </w:rPr>
            </w:pPr>
            <w:r w:rsidRPr="00C557C1">
              <w:rPr>
                <w:sz w:val="20"/>
                <w:szCs w:val="20"/>
              </w:rPr>
              <w:t>0.70*</w:t>
            </w:r>
          </w:p>
        </w:tc>
      </w:tr>
      <w:tr w:rsidR="00970F33" w:rsidRPr="00C557C1" w14:paraId="4A89222D" w14:textId="77777777" w:rsidTr="00B2281A">
        <w:trPr>
          <w:trHeight w:val="300"/>
        </w:trPr>
        <w:tc>
          <w:tcPr>
            <w:tcW w:w="630" w:type="pct"/>
            <w:vMerge/>
            <w:tcBorders>
              <w:top w:val="single" w:sz="4" w:space="0" w:color="auto"/>
              <w:left w:val="nil"/>
              <w:bottom w:val="single" w:sz="4" w:space="0" w:color="auto"/>
              <w:right w:val="nil"/>
            </w:tcBorders>
            <w:hideMark/>
          </w:tcPr>
          <w:p w14:paraId="2613A1F8" w14:textId="77777777" w:rsidR="00970F33" w:rsidRPr="00C557C1" w:rsidRDefault="00970F33" w:rsidP="00B2281A">
            <w:pPr>
              <w:spacing w:after="0" w:line="240" w:lineRule="auto"/>
              <w:rPr>
                <w:rFonts w:eastAsia="Times New Roman"/>
                <w:sz w:val="20"/>
                <w:szCs w:val="20"/>
                <w:lang w:eastAsia="ru-RU"/>
              </w:rPr>
            </w:pPr>
          </w:p>
        </w:tc>
        <w:tc>
          <w:tcPr>
            <w:tcW w:w="934" w:type="pct"/>
            <w:tcBorders>
              <w:top w:val="single" w:sz="4" w:space="0" w:color="auto"/>
              <w:left w:val="nil"/>
              <w:bottom w:val="single" w:sz="4" w:space="0" w:color="auto"/>
              <w:right w:val="nil"/>
            </w:tcBorders>
            <w:noWrap/>
            <w:hideMark/>
          </w:tcPr>
          <w:p w14:paraId="5A396AE7" w14:textId="77777777" w:rsidR="00970F33" w:rsidRPr="00C557C1" w:rsidRDefault="00970F33" w:rsidP="00B2281A">
            <w:pPr>
              <w:spacing w:line="260" w:lineRule="atLeast"/>
              <w:rPr>
                <w:rFonts w:eastAsia="Times New Roman"/>
                <w:sz w:val="20"/>
                <w:szCs w:val="20"/>
                <w:lang w:eastAsia="ru-RU"/>
              </w:rPr>
            </w:pPr>
            <w:r w:rsidRPr="00C557C1">
              <w:rPr>
                <w:rFonts w:eastAsia="Times New Roman"/>
                <w:sz w:val="20"/>
                <w:szCs w:val="20"/>
                <w:lang w:eastAsia="ru-RU"/>
              </w:rPr>
              <w:t>Y(NO)</w:t>
            </w:r>
            <w:r w:rsidRPr="00C557C1">
              <w:rPr>
                <w:rFonts w:eastAsia="Times New Roman"/>
                <w:sz w:val="20"/>
                <w:szCs w:val="20"/>
                <w:vertAlign w:val="subscript"/>
                <w:lang w:eastAsia="ru-RU"/>
              </w:rPr>
              <w:t>65</w:t>
            </w:r>
          </w:p>
        </w:tc>
        <w:tc>
          <w:tcPr>
            <w:tcW w:w="570" w:type="pct"/>
            <w:tcBorders>
              <w:top w:val="single" w:sz="4" w:space="0" w:color="auto"/>
              <w:left w:val="nil"/>
              <w:bottom w:val="single" w:sz="4" w:space="0" w:color="auto"/>
              <w:right w:val="nil"/>
            </w:tcBorders>
            <w:noWrap/>
            <w:hideMark/>
          </w:tcPr>
          <w:p w14:paraId="67C70884"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801" w:type="pct"/>
            <w:tcBorders>
              <w:top w:val="single" w:sz="4" w:space="0" w:color="auto"/>
              <w:left w:val="nil"/>
              <w:bottom w:val="single" w:sz="4" w:space="0" w:color="auto"/>
              <w:right w:val="nil"/>
            </w:tcBorders>
            <w:noWrap/>
            <w:hideMark/>
          </w:tcPr>
          <w:p w14:paraId="599E9FAC"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720" w:type="pct"/>
            <w:tcBorders>
              <w:top w:val="single" w:sz="4" w:space="0" w:color="auto"/>
              <w:left w:val="nil"/>
              <w:bottom w:val="single" w:sz="4" w:space="0" w:color="auto"/>
              <w:right w:val="nil"/>
            </w:tcBorders>
            <w:noWrap/>
            <w:hideMark/>
          </w:tcPr>
          <w:p w14:paraId="35605CA8"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709" w:type="pct"/>
            <w:tcBorders>
              <w:top w:val="single" w:sz="4" w:space="0" w:color="auto"/>
              <w:left w:val="nil"/>
              <w:bottom w:val="single" w:sz="4" w:space="0" w:color="auto"/>
              <w:right w:val="nil"/>
            </w:tcBorders>
            <w:noWrap/>
            <w:hideMark/>
          </w:tcPr>
          <w:p w14:paraId="4CCF6455"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636" w:type="pct"/>
            <w:tcBorders>
              <w:top w:val="single" w:sz="4" w:space="0" w:color="auto"/>
              <w:left w:val="nil"/>
              <w:bottom w:val="single" w:sz="4" w:space="0" w:color="auto"/>
              <w:right w:val="nil"/>
            </w:tcBorders>
            <w:noWrap/>
            <w:hideMark/>
          </w:tcPr>
          <w:p w14:paraId="4B48FFC6" w14:textId="77777777" w:rsidR="00970F33" w:rsidRPr="00C557C1" w:rsidRDefault="00970F33" w:rsidP="00B2281A">
            <w:pPr>
              <w:spacing w:line="260" w:lineRule="atLeast"/>
              <w:rPr>
                <w:rFonts w:eastAsia="Calibri"/>
                <w:sz w:val="20"/>
                <w:szCs w:val="20"/>
                <w:lang w:eastAsia="en-US"/>
              </w:rPr>
            </w:pPr>
            <w:r w:rsidRPr="00C557C1">
              <w:rPr>
                <w:sz w:val="20"/>
                <w:szCs w:val="20"/>
              </w:rPr>
              <w:t>–0.62*</w:t>
            </w:r>
          </w:p>
        </w:tc>
      </w:tr>
      <w:tr w:rsidR="00970F33" w:rsidRPr="00C557C1" w14:paraId="304481FB" w14:textId="77777777" w:rsidTr="00B2281A">
        <w:trPr>
          <w:trHeight w:val="300"/>
        </w:trPr>
        <w:tc>
          <w:tcPr>
            <w:tcW w:w="630" w:type="pct"/>
            <w:vMerge/>
            <w:tcBorders>
              <w:top w:val="single" w:sz="4" w:space="0" w:color="auto"/>
              <w:left w:val="nil"/>
              <w:bottom w:val="single" w:sz="4" w:space="0" w:color="auto"/>
              <w:right w:val="nil"/>
            </w:tcBorders>
            <w:hideMark/>
          </w:tcPr>
          <w:p w14:paraId="09F0EA9F" w14:textId="77777777" w:rsidR="00970F33" w:rsidRPr="00C557C1" w:rsidRDefault="00970F33" w:rsidP="00B2281A">
            <w:pPr>
              <w:spacing w:after="0" w:line="240" w:lineRule="auto"/>
              <w:rPr>
                <w:rFonts w:eastAsia="Times New Roman"/>
                <w:sz w:val="20"/>
                <w:szCs w:val="20"/>
                <w:lang w:eastAsia="ru-RU"/>
              </w:rPr>
            </w:pPr>
          </w:p>
        </w:tc>
        <w:tc>
          <w:tcPr>
            <w:tcW w:w="934" w:type="pct"/>
            <w:tcBorders>
              <w:top w:val="single" w:sz="4" w:space="0" w:color="auto"/>
              <w:left w:val="nil"/>
              <w:bottom w:val="single" w:sz="4" w:space="0" w:color="auto"/>
              <w:right w:val="nil"/>
            </w:tcBorders>
            <w:noWrap/>
            <w:hideMark/>
          </w:tcPr>
          <w:p w14:paraId="7A659A2B" w14:textId="77777777" w:rsidR="00970F33" w:rsidRPr="00C557C1" w:rsidRDefault="00970F33" w:rsidP="00B2281A">
            <w:pPr>
              <w:spacing w:line="260" w:lineRule="atLeast"/>
              <w:rPr>
                <w:rFonts w:eastAsia="Times New Roman"/>
                <w:sz w:val="20"/>
                <w:szCs w:val="20"/>
                <w:lang w:eastAsia="ru-RU"/>
              </w:rPr>
            </w:pPr>
            <w:r w:rsidRPr="00C557C1">
              <w:rPr>
                <w:rFonts w:eastAsia="Times New Roman"/>
                <w:sz w:val="20"/>
                <w:szCs w:val="20"/>
                <w:lang w:eastAsia="ru-RU"/>
              </w:rPr>
              <w:t>α</w:t>
            </w:r>
          </w:p>
        </w:tc>
        <w:tc>
          <w:tcPr>
            <w:tcW w:w="570" w:type="pct"/>
            <w:tcBorders>
              <w:top w:val="single" w:sz="4" w:space="0" w:color="auto"/>
              <w:left w:val="nil"/>
              <w:bottom w:val="single" w:sz="4" w:space="0" w:color="auto"/>
              <w:right w:val="nil"/>
            </w:tcBorders>
            <w:noWrap/>
            <w:hideMark/>
          </w:tcPr>
          <w:p w14:paraId="26D85D9B"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801" w:type="pct"/>
            <w:tcBorders>
              <w:top w:val="single" w:sz="4" w:space="0" w:color="auto"/>
              <w:left w:val="nil"/>
              <w:bottom w:val="single" w:sz="4" w:space="0" w:color="auto"/>
              <w:right w:val="nil"/>
            </w:tcBorders>
            <w:noWrap/>
            <w:hideMark/>
          </w:tcPr>
          <w:p w14:paraId="558BD20F"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720" w:type="pct"/>
            <w:tcBorders>
              <w:top w:val="single" w:sz="4" w:space="0" w:color="auto"/>
              <w:left w:val="nil"/>
              <w:bottom w:val="single" w:sz="4" w:space="0" w:color="auto"/>
              <w:right w:val="nil"/>
            </w:tcBorders>
            <w:noWrap/>
            <w:hideMark/>
          </w:tcPr>
          <w:p w14:paraId="70065F9D"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709" w:type="pct"/>
            <w:tcBorders>
              <w:top w:val="single" w:sz="4" w:space="0" w:color="auto"/>
              <w:left w:val="nil"/>
              <w:bottom w:val="single" w:sz="4" w:space="0" w:color="auto"/>
              <w:right w:val="nil"/>
            </w:tcBorders>
            <w:noWrap/>
            <w:hideMark/>
          </w:tcPr>
          <w:p w14:paraId="3F8F05E4" w14:textId="77777777" w:rsidR="00970F33" w:rsidRPr="00C557C1" w:rsidRDefault="00970F33" w:rsidP="00B2281A">
            <w:pPr>
              <w:spacing w:after="0" w:line="256" w:lineRule="auto"/>
              <w:rPr>
                <w:rFonts w:asciiTheme="minorHAnsi" w:eastAsiaTheme="minorHAnsi" w:hAnsiTheme="minorHAnsi" w:cstheme="minorBidi"/>
                <w:szCs w:val="22"/>
                <w:lang w:eastAsia="en-US"/>
              </w:rPr>
            </w:pPr>
          </w:p>
        </w:tc>
        <w:tc>
          <w:tcPr>
            <w:tcW w:w="636" w:type="pct"/>
            <w:tcBorders>
              <w:top w:val="single" w:sz="4" w:space="0" w:color="auto"/>
              <w:left w:val="nil"/>
              <w:bottom w:val="single" w:sz="4" w:space="0" w:color="auto"/>
              <w:right w:val="nil"/>
            </w:tcBorders>
            <w:noWrap/>
            <w:hideMark/>
          </w:tcPr>
          <w:p w14:paraId="6CE1DF68" w14:textId="77777777" w:rsidR="00970F33" w:rsidRPr="00C557C1" w:rsidRDefault="00970F33" w:rsidP="00B2281A">
            <w:pPr>
              <w:spacing w:line="260" w:lineRule="atLeast"/>
              <w:rPr>
                <w:rFonts w:eastAsia="Calibri"/>
                <w:sz w:val="20"/>
                <w:szCs w:val="20"/>
                <w:lang w:eastAsia="en-US"/>
              </w:rPr>
            </w:pPr>
            <w:r w:rsidRPr="00C557C1">
              <w:rPr>
                <w:sz w:val="20"/>
                <w:szCs w:val="20"/>
              </w:rPr>
              <w:t>0.69*</w:t>
            </w:r>
          </w:p>
        </w:tc>
      </w:tr>
    </w:tbl>
    <w:p w14:paraId="4F3B54EC" w14:textId="77777777" w:rsidR="00970F33" w:rsidRPr="00C557C1" w:rsidRDefault="00970F33" w:rsidP="00970F33">
      <w:pPr>
        <w:pStyle w:val="MDPI31text"/>
        <w:suppressAutoHyphens/>
        <w:ind w:firstLine="0"/>
        <w:rPr>
          <w:rFonts w:ascii="Times New Roman" w:hAnsi="Times New Roman"/>
          <w:szCs w:val="20"/>
        </w:rPr>
      </w:pPr>
    </w:p>
    <w:p w14:paraId="3235BA4D" w14:textId="77777777" w:rsidR="00970F33" w:rsidRPr="00C557C1" w:rsidRDefault="00970F33" w:rsidP="00970F33">
      <w:pPr>
        <w:pStyle w:val="MDPI31text"/>
        <w:suppressAutoHyphens/>
        <w:ind w:firstLine="0"/>
        <w:rPr>
          <w:rFonts w:ascii="Times New Roman" w:hAnsi="Times New Roman"/>
          <w:szCs w:val="20"/>
        </w:rPr>
        <w:sectPr w:rsidR="00970F33" w:rsidRPr="00C557C1" w:rsidSect="00A60696">
          <w:pgSz w:w="11906" w:h="16838"/>
          <w:pgMar w:top="1417" w:right="1134" w:bottom="1134" w:left="1134" w:header="708" w:footer="708" w:gutter="0"/>
          <w:cols w:space="708"/>
          <w:docGrid w:linePitch="360"/>
        </w:sectPr>
      </w:pPr>
    </w:p>
    <w:p w14:paraId="5238EA46" w14:textId="77777777" w:rsidR="00970F33" w:rsidRPr="00C557C1" w:rsidRDefault="00970F33" w:rsidP="00970F33">
      <w:pPr>
        <w:pStyle w:val="MDPI31text"/>
        <w:suppressAutoHyphens/>
        <w:ind w:firstLine="0"/>
        <w:rPr>
          <w:rFonts w:ascii="Times New Roman" w:hAnsi="Times New Roman"/>
          <w:szCs w:val="20"/>
        </w:rPr>
      </w:pPr>
      <w:r w:rsidRPr="00C557C1">
        <w:rPr>
          <w:rFonts w:ascii="Times New Roman" w:hAnsi="Times New Roman"/>
          <w:noProof/>
          <w:szCs w:val="20"/>
          <w:lang w:val="cs-CZ" w:eastAsia="cs-CZ"/>
        </w:rPr>
        <w:lastRenderedPageBreak/>
        <w:drawing>
          <wp:inline distT="0" distB="0" distL="0" distR="0" wp14:anchorId="14BE70DE" wp14:editId="68FCC1F9">
            <wp:extent cx="8251189" cy="50387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42 Fig1S.jpg"/>
                    <pic:cNvPicPr/>
                  </pic:nvPicPr>
                  <pic:blipFill>
                    <a:blip r:embed="rId4">
                      <a:extLst>
                        <a:ext uri="{28A0092B-C50C-407E-A947-70E740481C1C}">
                          <a14:useLocalDpi xmlns:a14="http://schemas.microsoft.com/office/drawing/2010/main" val="0"/>
                        </a:ext>
                      </a:extLst>
                    </a:blip>
                    <a:stretch>
                      <a:fillRect/>
                    </a:stretch>
                  </pic:blipFill>
                  <pic:spPr>
                    <a:xfrm>
                      <a:off x="0" y="0"/>
                      <a:ext cx="8272253" cy="5051588"/>
                    </a:xfrm>
                    <a:prstGeom prst="rect">
                      <a:avLst/>
                    </a:prstGeom>
                  </pic:spPr>
                </pic:pic>
              </a:graphicData>
            </a:graphic>
          </wp:inline>
        </w:drawing>
      </w:r>
    </w:p>
    <w:p w14:paraId="6C805226" w14:textId="12E0D630" w:rsidR="00970F33" w:rsidRPr="00C557C1" w:rsidRDefault="00970F33" w:rsidP="00970F33">
      <w:pPr>
        <w:spacing w:after="0"/>
        <w:jc w:val="both"/>
        <w:rPr>
          <w:sz w:val="20"/>
          <w:szCs w:val="20"/>
        </w:rPr>
      </w:pPr>
      <w:r w:rsidRPr="00C557C1">
        <w:rPr>
          <w:sz w:val="20"/>
          <w:szCs w:val="20"/>
        </w:rPr>
        <w:t xml:space="preserve">Fig. 1S. </w:t>
      </w:r>
      <w:proofErr w:type="spellStart"/>
      <w:r w:rsidRPr="00C557C1">
        <w:rPr>
          <w:sz w:val="20"/>
          <w:szCs w:val="20"/>
        </w:rPr>
        <w:t>Allolines</w:t>
      </w:r>
      <w:proofErr w:type="spellEnd"/>
      <w:r w:rsidRPr="00C557C1">
        <w:rPr>
          <w:sz w:val="20"/>
          <w:szCs w:val="20"/>
        </w:rPr>
        <w:t xml:space="preserve"> and parent genotypes mean values of PSII quantum yield of photochemical quenching (1), nonphotochemical energy conversion due to downregulation mechanisms (2) and nonorganized energy passive dissipation in form of heat and fluorescence (3) at the RLCs at PPFD of 65 (</w:t>
      </w:r>
      <w:r w:rsidRPr="00C557C1">
        <w:rPr>
          <w:i/>
          <w:sz w:val="20"/>
          <w:szCs w:val="20"/>
        </w:rPr>
        <w:t>A</w:t>
      </w:r>
      <w:r w:rsidRPr="00C557C1">
        <w:rPr>
          <w:sz w:val="20"/>
          <w:szCs w:val="20"/>
        </w:rPr>
        <w:t>) and 625 (</w:t>
      </w:r>
      <w:r w:rsidRPr="00C557C1">
        <w:rPr>
          <w:i/>
          <w:sz w:val="20"/>
          <w:szCs w:val="20"/>
        </w:rPr>
        <w:t>B</w:t>
      </w:r>
      <w:r w:rsidRPr="00C557C1">
        <w:rPr>
          <w:sz w:val="20"/>
          <w:szCs w:val="20"/>
        </w:rPr>
        <w:t xml:space="preserve">) </w:t>
      </w:r>
      <w:proofErr w:type="spellStart"/>
      <w:r w:rsidRPr="00C557C1">
        <w:rPr>
          <w:sz w:val="20"/>
          <w:szCs w:val="20"/>
        </w:rPr>
        <w:t>μmol</w:t>
      </w:r>
      <w:proofErr w:type="spellEnd"/>
      <w:r w:rsidRPr="00C557C1">
        <w:rPr>
          <w:sz w:val="20"/>
          <w:szCs w:val="20"/>
        </w:rPr>
        <w:t xml:space="preserve"> m</w:t>
      </w:r>
      <w:r w:rsidRPr="00C557C1">
        <w:rPr>
          <w:sz w:val="20"/>
          <w:szCs w:val="20"/>
          <w:vertAlign w:val="superscript"/>
        </w:rPr>
        <w:t>–2</w:t>
      </w:r>
      <w:r w:rsidRPr="00C557C1">
        <w:rPr>
          <w:sz w:val="20"/>
          <w:szCs w:val="20"/>
        </w:rPr>
        <w:t xml:space="preserve"> s</w:t>
      </w:r>
      <w:r w:rsidRPr="00C557C1">
        <w:rPr>
          <w:sz w:val="20"/>
          <w:szCs w:val="20"/>
          <w:vertAlign w:val="superscript"/>
        </w:rPr>
        <w:t>–1</w:t>
      </w:r>
      <w:r w:rsidRPr="00C557C1">
        <w:rPr>
          <w:sz w:val="20"/>
          <w:szCs w:val="20"/>
        </w:rPr>
        <w:t xml:space="preserve"> at different vegetation stages. TS – tillering stage, SE – stem extension, SFL – </w:t>
      </w:r>
      <w:proofErr w:type="spellStart"/>
      <w:r w:rsidRPr="00C557C1">
        <w:rPr>
          <w:sz w:val="20"/>
          <w:szCs w:val="20"/>
        </w:rPr>
        <w:t>subflag</w:t>
      </w:r>
      <w:proofErr w:type="spellEnd"/>
      <w:r w:rsidRPr="00C557C1">
        <w:rPr>
          <w:sz w:val="20"/>
          <w:szCs w:val="20"/>
        </w:rPr>
        <w:t xml:space="preserve"> leaf, FLD – flag-leaf development stage, ADF – anthesis, developed leaf.</w:t>
      </w:r>
    </w:p>
    <w:p w14:paraId="11DC6A07" w14:textId="77777777" w:rsidR="00970F33" w:rsidRPr="00C557C1" w:rsidRDefault="00970F33" w:rsidP="00970F33">
      <w:pPr>
        <w:spacing w:after="0"/>
        <w:jc w:val="both"/>
        <w:rPr>
          <w:sz w:val="20"/>
          <w:szCs w:val="20"/>
        </w:rPr>
        <w:sectPr w:rsidR="00970F33" w:rsidRPr="00C557C1" w:rsidSect="00214F95">
          <w:pgSz w:w="16838" w:h="11906" w:orient="landscape"/>
          <w:pgMar w:top="1134" w:right="1134" w:bottom="1134" w:left="1417" w:header="708" w:footer="708" w:gutter="0"/>
          <w:cols w:space="708"/>
          <w:docGrid w:linePitch="360"/>
        </w:sectPr>
      </w:pPr>
      <w:r w:rsidRPr="00C557C1">
        <w:rPr>
          <w:sz w:val="20"/>
          <w:szCs w:val="20"/>
        </w:rPr>
        <w:t xml:space="preserve"> </w:t>
      </w:r>
    </w:p>
    <w:p w14:paraId="4FDC4983" w14:textId="77777777" w:rsidR="00970F33" w:rsidRPr="00C557C1" w:rsidRDefault="00970F33" w:rsidP="00970F33">
      <w:pPr>
        <w:spacing w:after="0"/>
        <w:jc w:val="both"/>
        <w:rPr>
          <w:sz w:val="20"/>
          <w:szCs w:val="20"/>
        </w:rPr>
      </w:pPr>
      <w:r w:rsidRPr="00C557C1">
        <w:rPr>
          <w:noProof/>
          <w:sz w:val="20"/>
          <w:szCs w:val="20"/>
          <w:lang w:val="cs-CZ" w:eastAsia="cs-CZ"/>
        </w:rPr>
        <w:lastRenderedPageBreak/>
        <w:drawing>
          <wp:inline distT="0" distB="0" distL="0" distR="0" wp14:anchorId="43AA58AE" wp14:editId="7918E246">
            <wp:extent cx="4572000" cy="6635496"/>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642 Fig2S.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72000" cy="6635496"/>
                    </a:xfrm>
                    <a:prstGeom prst="rect">
                      <a:avLst/>
                    </a:prstGeom>
                  </pic:spPr>
                </pic:pic>
              </a:graphicData>
            </a:graphic>
          </wp:inline>
        </w:drawing>
      </w:r>
    </w:p>
    <w:p w14:paraId="50FCFE8E" w14:textId="62BD53A5" w:rsidR="00970F33" w:rsidRPr="005134F9" w:rsidRDefault="00970F33" w:rsidP="00970F33">
      <w:pPr>
        <w:spacing w:after="0"/>
        <w:jc w:val="both"/>
        <w:rPr>
          <w:b/>
          <w:sz w:val="20"/>
          <w:szCs w:val="20"/>
        </w:rPr>
      </w:pPr>
      <w:r w:rsidRPr="00C557C1">
        <w:rPr>
          <w:sz w:val="20"/>
          <w:szCs w:val="20"/>
        </w:rPr>
        <w:t xml:space="preserve">Fig. 2S. Photosynthetic capacity parameters of </w:t>
      </w:r>
      <w:proofErr w:type="spellStart"/>
      <w:r w:rsidRPr="00C557C1">
        <w:rPr>
          <w:sz w:val="20"/>
          <w:szCs w:val="20"/>
        </w:rPr>
        <w:t>allolines</w:t>
      </w:r>
      <w:proofErr w:type="spellEnd"/>
      <w:r w:rsidRPr="00C557C1">
        <w:rPr>
          <w:sz w:val="20"/>
          <w:szCs w:val="20"/>
        </w:rPr>
        <w:t xml:space="preserve"> and parent genotypes in RLC at different vegetation. </w:t>
      </w:r>
      <w:proofErr w:type="spellStart"/>
      <w:r w:rsidRPr="00C557C1">
        <w:rPr>
          <w:sz w:val="20"/>
          <w:szCs w:val="20"/>
        </w:rPr>
        <w:t>ETR</w:t>
      </w:r>
      <w:r w:rsidRPr="00C557C1">
        <w:rPr>
          <w:sz w:val="20"/>
          <w:szCs w:val="20"/>
          <w:vertAlign w:val="subscript"/>
        </w:rPr>
        <w:t>max</w:t>
      </w:r>
      <w:proofErr w:type="spellEnd"/>
      <w:r w:rsidRPr="00C557C1">
        <w:rPr>
          <w:sz w:val="20"/>
          <w:szCs w:val="20"/>
        </w:rPr>
        <w:t xml:space="preserve"> (</w:t>
      </w:r>
      <w:r w:rsidRPr="00C557C1">
        <w:rPr>
          <w:i/>
          <w:sz w:val="20"/>
          <w:szCs w:val="20"/>
        </w:rPr>
        <w:t>A</w:t>
      </w:r>
      <w:r w:rsidRPr="00C557C1">
        <w:rPr>
          <w:sz w:val="20"/>
          <w:szCs w:val="20"/>
        </w:rPr>
        <w:t xml:space="preserve">) – maximum electron transport rate, </w:t>
      </w:r>
      <w:proofErr w:type="spellStart"/>
      <w:r w:rsidRPr="00C557C1">
        <w:rPr>
          <w:sz w:val="20"/>
          <w:szCs w:val="20"/>
        </w:rPr>
        <w:t>E</w:t>
      </w:r>
      <w:r w:rsidRPr="00C557C1">
        <w:rPr>
          <w:sz w:val="20"/>
          <w:szCs w:val="20"/>
          <w:vertAlign w:val="subscript"/>
        </w:rPr>
        <w:t>k</w:t>
      </w:r>
      <w:proofErr w:type="spellEnd"/>
      <w:r w:rsidRPr="00C557C1">
        <w:rPr>
          <w:sz w:val="20"/>
          <w:szCs w:val="20"/>
        </w:rPr>
        <w:t xml:space="preserve"> (</w:t>
      </w:r>
      <w:r w:rsidRPr="00C557C1">
        <w:rPr>
          <w:i/>
          <w:sz w:val="20"/>
          <w:szCs w:val="20"/>
        </w:rPr>
        <w:t>B</w:t>
      </w:r>
      <w:r w:rsidRPr="00C557C1">
        <w:rPr>
          <w:sz w:val="20"/>
          <w:szCs w:val="20"/>
        </w:rPr>
        <w:t>) – the minimum saturation level, α (</w:t>
      </w:r>
      <w:r w:rsidRPr="00C557C1">
        <w:rPr>
          <w:i/>
          <w:sz w:val="20"/>
          <w:szCs w:val="20"/>
        </w:rPr>
        <w:t>C</w:t>
      </w:r>
      <w:r w:rsidRPr="00C557C1">
        <w:rPr>
          <w:sz w:val="20"/>
          <w:szCs w:val="20"/>
        </w:rPr>
        <w:t xml:space="preserve">) – the initial slope of RLC at low PPFD values. TS – tillering stage, SE – stem extension, SFL – </w:t>
      </w:r>
      <w:proofErr w:type="spellStart"/>
      <w:r w:rsidRPr="00C557C1">
        <w:rPr>
          <w:sz w:val="20"/>
          <w:szCs w:val="20"/>
        </w:rPr>
        <w:t>subflag</w:t>
      </w:r>
      <w:proofErr w:type="spellEnd"/>
      <w:r w:rsidRPr="00C557C1">
        <w:rPr>
          <w:sz w:val="20"/>
          <w:szCs w:val="20"/>
        </w:rPr>
        <w:t xml:space="preserve"> leaf, FLD – flag-leaf development stage, ADF – anthesis, developed leaf.</w:t>
      </w:r>
    </w:p>
    <w:p w14:paraId="688ECDD5" w14:textId="77777777" w:rsidR="008D04C1" w:rsidRDefault="008D04C1"/>
    <w:sectPr w:rsidR="008D04C1" w:rsidSect="00214F9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6"/>
    <w:family w:val="swiss"/>
    <w:pitch w:val="default"/>
    <w:sig w:usb0="00000000" w:usb1="00000000"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F33"/>
    <w:rsid w:val="008D04C1"/>
    <w:rsid w:val="00970F33"/>
    <w:rsid w:val="00B228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08C6D"/>
  <w15:chartTrackingRefBased/>
  <w15:docId w15:val="{ABF8232E-1B22-4112-B331-EC267208C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70F33"/>
    <w:pPr>
      <w:spacing w:after="200" w:line="480" w:lineRule="auto"/>
    </w:pPr>
    <w:rPr>
      <w:rFonts w:ascii="Times New Roman" w:eastAsia="MS Mincho" w:hAnsi="Times New Roman" w:cs="Times New Roman"/>
      <w:szCs w:val="24"/>
      <w:lang w:val="en-US" w:eastAsia="ja-JP"/>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DPI31text">
    <w:name w:val="MDPI_3.1_text"/>
    <w:qFormat/>
    <w:rsid w:val="00970F33"/>
    <w:pPr>
      <w:adjustRightInd w:val="0"/>
      <w:snapToGrid w:val="0"/>
      <w:spacing w:after="0" w:line="260" w:lineRule="atLeast"/>
      <w:ind w:firstLine="425"/>
      <w:jc w:val="both"/>
    </w:pPr>
    <w:rPr>
      <w:rFonts w:ascii="Palatino Linotype" w:eastAsia="MS Mincho" w:hAnsi="Palatino Linotype" w:cs="Times New Roman"/>
      <w:color w:val="000000"/>
      <w:sz w:val="20"/>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331</Words>
  <Characters>1953</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Spousta</dc:creator>
  <cp:keywords/>
  <dc:description/>
  <cp:lastModifiedBy>Martin Spousta</cp:lastModifiedBy>
  <cp:revision>1</cp:revision>
  <dcterms:created xsi:type="dcterms:W3CDTF">2021-01-21T10:18:00Z</dcterms:created>
  <dcterms:modified xsi:type="dcterms:W3CDTF">2021-01-22T09:34:00Z</dcterms:modified>
</cp:coreProperties>
</file>