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CBF1" w14:textId="1FF4DAEC" w:rsidR="00F1067D" w:rsidRP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  <w:r w:rsidRPr="00F1067D">
        <w:rPr>
          <w:rFonts w:ascii="Times New Roman" w:eastAsia="SimSun" w:hAnsi="Times New Roman" w:cs="Times New Roman"/>
          <w:bCs/>
          <w:sz w:val="20"/>
          <w:szCs w:val="20"/>
        </w:rPr>
        <w:t>Table 1S. Effects of different treatments on the light-saturation point (</w:t>
      </w:r>
      <w:proofErr w:type="spellStart"/>
      <w:r w:rsidRPr="00F1067D">
        <w:rPr>
          <w:rFonts w:ascii="Times New Roman" w:hAnsi="Times New Roman" w:cs="Times New Roman"/>
          <w:bCs/>
          <w:i/>
          <w:sz w:val="20"/>
          <w:szCs w:val="20"/>
        </w:rPr>
        <w:t>I</w:t>
      </w:r>
      <w:r w:rsidRPr="00F1067D">
        <w:rPr>
          <w:rFonts w:ascii="Times New Roman" w:hAnsi="Times New Roman" w:cs="Times New Roman"/>
          <w:bCs/>
          <w:sz w:val="20"/>
          <w:szCs w:val="20"/>
          <w:vertAlign w:val="subscript"/>
        </w:rPr>
        <w:t>sat</w:t>
      </w:r>
      <w:proofErr w:type="spellEnd"/>
      <w:r w:rsidRPr="00F1067D">
        <w:rPr>
          <w:rFonts w:ascii="Times New Roman" w:eastAsia="SimSun" w:hAnsi="Times New Roman" w:cs="Times New Roman"/>
          <w:bCs/>
          <w:sz w:val="20"/>
          <w:szCs w:val="20"/>
        </w:rPr>
        <w:t>), light-compensation point (</w:t>
      </w:r>
      <w:proofErr w:type="spellStart"/>
      <w:r w:rsidRPr="00F1067D">
        <w:rPr>
          <w:rFonts w:ascii="Times New Roman" w:eastAsia="SimSun" w:hAnsi="Times New Roman" w:cs="Times New Roman"/>
          <w:bCs/>
          <w:i/>
          <w:sz w:val="20"/>
          <w:szCs w:val="20"/>
        </w:rPr>
        <w:t>I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bscript"/>
        </w:rPr>
        <w:t>c</w:t>
      </w:r>
      <w:proofErr w:type="spellEnd"/>
      <w:r w:rsidRPr="00F1067D">
        <w:rPr>
          <w:rFonts w:ascii="Times New Roman" w:eastAsia="SimSun" w:hAnsi="Times New Roman" w:cs="Times New Roman"/>
          <w:bCs/>
          <w:sz w:val="20"/>
          <w:szCs w:val="20"/>
        </w:rPr>
        <w:t>), and dark respiration rate (</w:t>
      </w:r>
      <w:r w:rsidRPr="00F1067D">
        <w:rPr>
          <w:rFonts w:ascii="Times New Roman" w:eastAsia="SimSun" w:hAnsi="Times New Roman" w:cs="Times New Roman"/>
          <w:bCs/>
          <w:i/>
          <w:sz w:val="20"/>
          <w:szCs w:val="20"/>
        </w:rPr>
        <w:t>R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bscript"/>
        </w:rPr>
        <w:t>D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) of the different treatments.</w:t>
      </w:r>
      <w:r>
        <w:rPr>
          <w:rFonts w:ascii="Times New Roman" w:eastAsia="SimSun" w:hAnsi="Times New Roman" w:cs="Times New Roman"/>
          <w:bCs/>
          <w:sz w:val="20"/>
          <w:szCs w:val="20"/>
        </w:rPr>
        <w:t xml:space="preserve"> 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L1: ambient sunlight; L2: 40% shade; P0: phosphate fertilizer application of 0 kg(P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bscript"/>
        </w:rPr>
        <w:t>2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O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bscript"/>
        </w:rPr>
        <w:t>5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) ha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perscript"/>
        </w:rPr>
        <w:t>–1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; P1: phosphate fertilizer application of 180 kg(P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bscript"/>
        </w:rPr>
        <w:t>2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O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bscript"/>
        </w:rPr>
        <w:t>5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) ha</w:t>
      </w:r>
      <w:r w:rsidRPr="00F1067D">
        <w:rPr>
          <w:rFonts w:ascii="Times New Roman" w:eastAsia="SimSun" w:hAnsi="Times New Roman" w:cs="Times New Roman"/>
          <w:bCs/>
          <w:sz w:val="20"/>
          <w:szCs w:val="20"/>
          <w:vertAlign w:val="superscript"/>
        </w:rPr>
        <w:t>–1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 xml:space="preserve">. L: light factor, P: phosphate fertilizer factor, L </w:t>
      </w:r>
      <w:r w:rsidRPr="00F1067D">
        <w:rPr>
          <w:rFonts w:ascii="Times New Roman" w:eastAsia="SimSun" w:hAnsi="Times New Roman" w:cs="Times New Roman"/>
          <w:bCs/>
          <w:color w:val="000000"/>
          <w:kern w:val="0"/>
          <w:sz w:val="20"/>
          <w:szCs w:val="20"/>
        </w:rPr>
        <w:t xml:space="preserve">× 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 xml:space="preserve">P: interaction between light and phosphate fertilizer. </w:t>
      </w:r>
      <w:r w:rsidRPr="00127619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>Different lowercase letters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 xml:space="preserve"> in the same column indicate significant differences (</w:t>
      </w:r>
      <w:r w:rsidRPr="00F1067D">
        <w:rPr>
          <w:rFonts w:ascii="Times New Roman" w:eastAsia="SimSun" w:hAnsi="Times New Roman" w:cs="Times New Roman"/>
          <w:bCs/>
          <w:i/>
          <w:sz w:val="20"/>
          <w:szCs w:val="20"/>
        </w:rPr>
        <w:t>P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&lt;0.05). *</w:t>
      </w:r>
      <w:r w:rsidRPr="00F1067D">
        <w:rPr>
          <w:rFonts w:ascii="Times New Roman" w:eastAsia="SimSun" w:hAnsi="Times New Roman" w:cs="Times New Roman"/>
          <w:bCs/>
          <w:i/>
          <w:sz w:val="20"/>
          <w:szCs w:val="20"/>
        </w:rPr>
        <w:t>P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&lt;0.05, **</w:t>
      </w:r>
      <w:r w:rsidRPr="00F1067D">
        <w:rPr>
          <w:rFonts w:ascii="Times New Roman" w:eastAsia="SimSun" w:hAnsi="Times New Roman" w:cs="Times New Roman"/>
          <w:bCs/>
          <w:i/>
          <w:sz w:val="20"/>
          <w:szCs w:val="20"/>
        </w:rPr>
        <w:t>P</w:t>
      </w:r>
      <w:r w:rsidRPr="00F1067D">
        <w:rPr>
          <w:rFonts w:ascii="Times New Roman" w:eastAsia="SimSun" w:hAnsi="Times New Roman" w:cs="Times New Roman"/>
          <w:bCs/>
          <w:sz w:val="20"/>
          <w:szCs w:val="20"/>
        </w:rPr>
        <w:t>&lt;0.01, ns: not significant.</w:t>
      </w:r>
    </w:p>
    <w:p w14:paraId="238A7E06" w14:textId="36B5CAB2" w:rsidR="00F1067D" w:rsidRP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907"/>
        <w:gridCol w:w="1210"/>
        <w:gridCol w:w="1292"/>
        <w:gridCol w:w="1292"/>
        <w:gridCol w:w="1157"/>
        <w:gridCol w:w="1063"/>
        <w:gridCol w:w="1128"/>
        <w:gridCol w:w="894"/>
        <w:gridCol w:w="813"/>
        <w:gridCol w:w="892"/>
      </w:tblGrid>
      <w:tr w:rsidR="00127619" w:rsidRPr="00F1067D" w14:paraId="2B53108B" w14:textId="77777777" w:rsidTr="00127619">
        <w:trPr>
          <w:trHeight w:val="20"/>
        </w:trPr>
        <w:tc>
          <w:tcPr>
            <w:tcW w:w="1297" w:type="pct"/>
            <w:gridSpan w:val="2"/>
            <w:tcBorders>
              <w:bottom w:val="nil"/>
            </w:tcBorders>
            <w:noWrap/>
            <w:hideMark/>
          </w:tcPr>
          <w:p w14:paraId="13117B0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Treatment</w:t>
            </w:r>
          </w:p>
        </w:tc>
        <w:tc>
          <w:tcPr>
            <w:tcW w:w="1442" w:type="pct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FFFFFF" w:themeColor="background1"/>
            </w:tcBorders>
            <w:noWrap/>
            <w:hideMark/>
          </w:tcPr>
          <w:p w14:paraId="20A8B280" w14:textId="2C755808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106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sat</w:t>
            </w:r>
            <w:proofErr w:type="spellEnd"/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</w:t>
            </w:r>
            <w:proofErr w:type="spellStart"/>
            <w:r w:rsidR="00127619">
              <w:rPr>
                <w:rFonts w:ascii="Times New Roman" w:hAnsi="Times New Roman" w:cs="Times New Roman"/>
                <w:bCs/>
                <w:sz w:val="20"/>
                <w:szCs w:val="20"/>
              </w:rPr>
              <w:t>μ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mol</w:t>
            </w:r>
            <w:proofErr w:type="spellEnd"/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–2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–1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noWrap/>
            <w:hideMark/>
          </w:tcPr>
          <w:p w14:paraId="02D4A9E0" w14:textId="36163318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106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c</w:t>
            </w:r>
            <w:proofErr w:type="spellEnd"/>
            <w:r w:rsidRPr="001276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proofErr w:type="spellStart"/>
            <w:r w:rsidR="00127619">
              <w:rPr>
                <w:rFonts w:ascii="Times New Roman" w:hAnsi="Times New Roman" w:cs="Times New Roman"/>
                <w:bCs/>
                <w:sz w:val="20"/>
                <w:szCs w:val="20"/>
              </w:rPr>
              <w:t>μ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mol</w:t>
            </w:r>
            <w:proofErr w:type="spellEnd"/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–2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–1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</w:tc>
        <w:tc>
          <w:tcPr>
            <w:tcW w:w="988" w:type="pct"/>
            <w:gridSpan w:val="3"/>
            <w:tcBorders>
              <w:left w:val="single" w:sz="18" w:space="0" w:color="FFFFFF" w:themeColor="background1"/>
              <w:bottom w:val="single" w:sz="4" w:space="0" w:color="auto"/>
            </w:tcBorders>
            <w:noWrap/>
            <w:hideMark/>
          </w:tcPr>
          <w:p w14:paraId="3385B3E4" w14:textId="26A1F2EE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D</w:t>
            </w:r>
            <w:r w:rsidRPr="001276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proofErr w:type="spellStart"/>
            <w:r w:rsidR="00127619">
              <w:rPr>
                <w:rFonts w:ascii="Times New Roman" w:hAnsi="Times New Roman" w:cs="Times New Roman"/>
                <w:bCs/>
                <w:sz w:val="20"/>
                <w:szCs w:val="20"/>
              </w:rPr>
              <w:t>μ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mol</w:t>
            </w:r>
            <w:proofErr w:type="spellEnd"/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–2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–1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</w:tc>
      </w:tr>
      <w:tr w:rsidR="00127619" w:rsidRPr="00F1067D" w14:paraId="4A86A7C0" w14:textId="77777777" w:rsidTr="00127619">
        <w:trPr>
          <w:trHeight w:val="20"/>
        </w:trPr>
        <w:tc>
          <w:tcPr>
            <w:tcW w:w="57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CAE5F6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Light (L)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88E505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Phosphorus (P)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AC678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0D7F8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R3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  <w:right w:val="single" w:sz="18" w:space="0" w:color="FFFFFF" w:themeColor="background1"/>
            </w:tcBorders>
            <w:noWrap/>
            <w:hideMark/>
          </w:tcPr>
          <w:p w14:paraId="23E2998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</w:tcBorders>
            <w:noWrap/>
            <w:hideMark/>
          </w:tcPr>
          <w:p w14:paraId="4728224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B73ED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R3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18" w:space="0" w:color="FFFFFF" w:themeColor="background1"/>
            </w:tcBorders>
            <w:noWrap/>
            <w:hideMark/>
          </w:tcPr>
          <w:p w14:paraId="35F31B3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</w:tcBorders>
            <w:noWrap/>
            <w:hideMark/>
          </w:tcPr>
          <w:p w14:paraId="4A680E0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EE345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R3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5A269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R5</w:t>
            </w:r>
          </w:p>
        </w:tc>
      </w:tr>
      <w:tr w:rsidR="00127619" w:rsidRPr="00F1067D" w14:paraId="4678EB35" w14:textId="77777777" w:rsidTr="00127619">
        <w:trPr>
          <w:trHeight w:val="20"/>
        </w:trPr>
        <w:tc>
          <w:tcPr>
            <w:tcW w:w="572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2ADE3C2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L1</w:t>
            </w:r>
          </w:p>
          <w:p w14:paraId="2AB58D7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  <w:noWrap/>
            <w:hideMark/>
          </w:tcPr>
          <w:p w14:paraId="1201C38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P0</w:t>
            </w:r>
          </w:p>
        </w:tc>
        <w:tc>
          <w:tcPr>
            <w:tcW w:w="460" w:type="pct"/>
            <w:tcBorders>
              <w:top w:val="single" w:sz="4" w:space="0" w:color="auto"/>
            </w:tcBorders>
            <w:noWrap/>
            <w:hideMark/>
          </w:tcPr>
          <w:p w14:paraId="68B7316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530.8 ± 20.3</w:t>
            </w:r>
          </w:p>
        </w:tc>
        <w:tc>
          <w:tcPr>
            <w:tcW w:w="491" w:type="pct"/>
            <w:tcBorders>
              <w:top w:val="single" w:sz="4" w:space="0" w:color="auto"/>
            </w:tcBorders>
            <w:noWrap/>
            <w:hideMark/>
          </w:tcPr>
          <w:p w14:paraId="56EF96C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541.9 ± 33.4</w:t>
            </w:r>
          </w:p>
        </w:tc>
        <w:tc>
          <w:tcPr>
            <w:tcW w:w="491" w:type="pct"/>
            <w:tcBorders>
              <w:top w:val="single" w:sz="4" w:space="0" w:color="auto"/>
            </w:tcBorders>
            <w:noWrap/>
            <w:hideMark/>
          </w:tcPr>
          <w:p w14:paraId="407775D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359.5 ± 9.4</w:t>
            </w:r>
          </w:p>
        </w:tc>
        <w:tc>
          <w:tcPr>
            <w:tcW w:w="440" w:type="pct"/>
            <w:tcBorders>
              <w:top w:val="single" w:sz="4" w:space="0" w:color="auto"/>
            </w:tcBorders>
            <w:noWrap/>
            <w:hideMark/>
          </w:tcPr>
          <w:p w14:paraId="41F1232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170.4 ± 1.6</w:t>
            </w:r>
          </w:p>
        </w:tc>
        <w:tc>
          <w:tcPr>
            <w:tcW w:w="404" w:type="pct"/>
            <w:tcBorders>
              <w:top w:val="single" w:sz="4" w:space="0" w:color="auto"/>
            </w:tcBorders>
            <w:noWrap/>
            <w:hideMark/>
          </w:tcPr>
          <w:p w14:paraId="5ADF86A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114.8 ± 1.4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hideMark/>
          </w:tcPr>
          <w:p w14:paraId="4C3CD66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169.3 ± 2.3</w:t>
            </w:r>
          </w:p>
        </w:tc>
        <w:tc>
          <w:tcPr>
            <w:tcW w:w="340" w:type="pct"/>
            <w:tcBorders>
              <w:top w:val="single" w:sz="4" w:space="0" w:color="auto"/>
            </w:tcBorders>
            <w:noWrap/>
            <w:hideMark/>
          </w:tcPr>
          <w:p w14:paraId="54FA40A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7.7 ± 0.2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hideMark/>
          </w:tcPr>
          <w:p w14:paraId="1F8F1D9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4.4 ± 0.3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hideMark/>
          </w:tcPr>
          <w:p w14:paraId="506ED1F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8.2 ± 0.3</w:t>
            </w:r>
          </w:p>
        </w:tc>
      </w:tr>
      <w:tr w:rsidR="00127619" w:rsidRPr="00F1067D" w14:paraId="7DC2DFCB" w14:textId="77777777" w:rsidTr="00127619">
        <w:trPr>
          <w:trHeight w:val="20"/>
        </w:trPr>
        <w:tc>
          <w:tcPr>
            <w:tcW w:w="572" w:type="pct"/>
            <w:vMerge/>
            <w:hideMark/>
          </w:tcPr>
          <w:p w14:paraId="27E4363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" w:type="pct"/>
            <w:noWrap/>
            <w:hideMark/>
          </w:tcPr>
          <w:p w14:paraId="7901577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460" w:type="pct"/>
            <w:noWrap/>
            <w:hideMark/>
          </w:tcPr>
          <w:p w14:paraId="4384540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544.2 ± 35.1</w:t>
            </w:r>
          </w:p>
        </w:tc>
        <w:tc>
          <w:tcPr>
            <w:tcW w:w="491" w:type="pct"/>
            <w:noWrap/>
            <w:hideMark/>
          </w:tcPr>
          <w:p w14:paraId="46978EF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682.4 ± 40.1</w:t>
            </w:r>
          </w:p>
        </w:tc>
        <w:tc>
          <w:tcPr>
            <w:tcW w:w="491" w:type="pct"/>
            <w:noWrap/>
            <w:hideMark/>
          </w:tcPr>
          <w:p w14:paraId="3F557DF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492.7 ± 10.4</w:t>
            </w:r>
          </w:p>
        </w:tc>
        <w:tc>
          <w:tcPr>
            <w:tcW w:w="440" w:type="pct"/>
            <w:noWrap/>
            <w:hideMark/>
          </w:tcPr>
          <w:p w14:paraId="4DCD4DF5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136.9 ± 2.1</w:t>
            </w:r>
          </w:p>
        </w:tc>
        <w:tc>
          <w:tcPr>
            <w:tcW w:w="404" w:type="pct"/>
            <w:noWrap/>
            <w:hideMark/>
          </w:tcPr>
          <w:p w14:paraId="58348DD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38.3 ± 1.1</w:t>
            </w:r>
          </w:p>
        </w:tc>
        <w:tc>
          <w:tcPr>
            <w:tcW w:w="429" w:type="pct"/>
            <w:noWrap/>
            <w:hideMark/>
          </w:tcPr>
          <w:p w14:paraId="73314E4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88.7 ± 1.0</w:t>
            </w:r>
          </w:p>
        </w:tc>
        <w:tc>
          <w:tcPr>
            <w:tcW w:w="340" w:type="pct"/>
            <w:noWrap/>
            <w:hideMark/>
          </w:tcPr>
          <w:p w14:paraId="45952BA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5.8 ± 0.3</w:t>
            </w:r>
          </w:p>
        </w:tc>
        <w:tc>
          <w:tcPr>
            <w:tcW w:w="309" w:type="pct"/>
            <w:noWrap/>
            <w:hideMark/>
          </w:tcPr>
          <w:p w14:paraId="06B947B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1.9 ± 0.2</w:t>
            </w:r>
          </w:p>
        </w:tc>
        <w:tc>
          <w:tcPr>
            <w:tcW w:w="339" w:type="pct"/>
            <w:noWrap/>
            <w:hideMark/>
          </w:tcPr>
          <w:p w14:paraId="0D01165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4.7 ± 0.2</w:t>
            </w:r>
          </w:p>
        </w:tc>
      </w:tr>
      <w:tr w:rsidR="00127619" w:rsidRPr="00F1067D" w14:paraId="3A84F263" w14:textId="77777777" w:rsidTr="00127619">
        <w:trPr>
          <w:trHeight w:val="20"/>
        </w:trPr>
        <w:tc>
          <w:tcPr>
            <w:tcW w:w="572" w:type="pct"/>
            <w:vMerge w:val="restart"/>
            <w:noWrap/>
            <w:hideMark/>
          </w:tcPr>
          <w:p w14:paraId="381066E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L2</w:t>
            </w:r>
          </w:p>
          <w:p w14:paraId="68499FC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" w:type="pct"/>
            <w:noWrap/>
            <w:hideMark/>
          </w:tcPr>
          <w:p w14:paraId="6B83CE5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P0</w:t>
            </w:r>
          </w:p>
        </w:tc>
        <w:tc>
          <w:tcPr>
            <w:tcW w:w="460" w:type="pct"/>
            <w:noWrap/>
            <w:hideMark/>
          </w:tcPr>
          <w:p w14:paraId="3A90B8A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251.5 ± 18.6</w:t>
            </w:r>
          </w:p>
        </w:tc>
        <w:tc>
          <w:tcPr>
            <w:tcW w:w="491" w:type="pct"/>
            <w:noWrap/>
            <w:hideMark/>
          </w:tcPr>
          <w:p w14:paraId="5D08A3A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223 ± 11.3</w:t>
            </w:r>
          </w:p>
        </w:tc>
        <w:tc>
          <w:tcPr>
            <w:tcW w:w="491" w:type="pct"/>
            <w:noWrap/>
            <w:hideMark/>
          </w:tcPr>
          <w:p w14:paraId="2F7C08D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117.6 ± 9.8</w:t>
            </w:r>
          </w:p>
        </w:tc>
        <w:tc>
          <w:tcPr>
            <w:tcW w:w="440" w:type="pct"/>
            <w:noWrap/>
            <w:hideMark/>
          </w:tcPr>
          <w:p w14:paraId="446C675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264.3 ± 3.4</w:t>
            </w:r>
          </w:p>
        </w:tc>
        <w:tc>
          <w:tcPr>
            <w:tcW w:w="404" w:type="pct"/>
            <w:noWrap/>
            <w:hideMark/>
          </w:tcPr>
          <w:p w14:paraId="0DC54DC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177 ± 2.5</w:t>
            </w:r>
          </w:p>
        </w:tc>
        <w:tc>
          <w:tcPr>
            <w:tcW w:w="429" w:type="pct"/>
            <w:noWrap/>
            <w:hideMark/>
          </w:tcPr>
          <w:p w14:paraId="65455E3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200.6 ± 2.3</w:t>
            </w:r>
          </w:p>
        </w:tc>
        <w:tc>
          <w:tcPr>
            <w:tcW w:w="340" w:type="pct"/>
            <w:noWrap/>
            <w:hideMark/>
          </w:tcPr>
          <w:p w14:paraId="313D955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9.5 ± 0.2</w:t>
            </w:r>
          </w:p>
        </w:tc>
        <w:tc>
          <w:tcPr>
            <w:tcW w:w="309" w:type="pct"/>
            <w:noWrap/>
            <w:hideMark/>
          </w:tcPr>
          <w:p w14:paraId="2298020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9.2 ± 0.9</w:t>
            </w:r>
          </w:p>
        </w:tc>
        <w:tc>
          <w:tcPr>
            <w:tcW w:w="339" w:type="pct"/>
            <w:noWrap/>
            <w:hideMark/>
          </w:tcPr>
          <w:p w14:paraId="3C91A57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10.6 ± 0.9</w:t>
            </w:r>
          </w:p>
        </w:tc>
      </w:tr>
      <w:tr w:rsidR="00127619" w:rsidRPr="00F1067D" w14:paraId="64DA8566" w14:textId="77777777" w:rsidTr="00127619">
        <w:trPr>
          <w:trHeight w:val="20"/>
        </w:trPr>
        <w:tc>
          <w:tcPr>
            <w:tcW w:w="572" w:type="pct"/>
            <w:vMerge/>
            <w:hideMark/>
          </w:tcPr>
          <w:p w14:paraId="19538FF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" w:type="pct"/>
            <w:noWrap/>
            <w:hideMark/>
          </w:tcPr>
          <w:p w14:paraId="35C7B67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460" w:type="pct"/>
            <w:noWrap/>
            <w:hideMark/>
          </w:tcPr>
          <w:p w14:paraId="49AF35F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479.7 ± 12.7</w:t>
            </w:r>
          </w:p>
        </w:tc>
        <w:tc>
          <w:tcPr>
            <w:tcW w:w="491" w:type="pct"/>
            <w:noWrap/>
            <w:hideMark/>
          </w:tcPr>
          <w:p w14:paraId="61B5220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497.2 ± 10.5</w:t>
            </w:r>
          </w:p>
        </w:tc>
        <w:tc>
          <w:tcPr>
            <w:tcW w:w="491" w:type="pct"/>
            <w:noWrap/>
            <w:hideMark/>
          </w:tcPr>
          <w:p w14:paraId="7CE88C8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295.9 ± 6.7</w:t>
            </w:r>
          </w:p>
        </w:tc>
        <w:tc>
          <w:tcPr>
            <w:tcW w:w="440" w:type="pct"/>
            <w:noWrap/>
            <w:hideMark/>
          </w:tcPr>
          <w:p w14:paraId="006463F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204.7 ± 4.1</w:t>
            </w:r>
          </w:p>
        </w:tc>
        <w:tc>
          <w:tcPr>
            <w:tcW w:w="404" w:type="pct"/>
            <w:noWrap/>
            <w:hideMark/>
          </w:tcPr>
          <w:p w14:paraId="265C1935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99.5 ± 3.7</w:t>
            </w:r>
          </w:p>
        </w:tc>
        <w:tc>
          <w:tcPr>
            <w:tcW w:w="429" w:type="pct"/>
            <w:noWrap/>
            <w:hideMark/>
          </w:tcPr>
          <w:p w14:paraId="363FC04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117.2 ± 1.6</w:t>
            </w:r>
          </w:p>
        </w:tc>
        <w:tc>
          <w:tcPr>
            <w:tcW w:w="340" w:type="pct"/>
            <w:noWrap/>
            <w:hideMark/>
          </w:tcPr>
          <w:p w14:paraId="46BF2FB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9 ± 0.3</w:t>
            </w:r>
          </w:p>
        </w:tc>
        <w:tc>
          <w:tcPr>
            <w:tcW w:w="309" w:type="pct"/>
            <w:noWrap/>
            <w:hideMark/>
          </w:tcPr>
          <w:p w14:paraId="2F97535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6.6 ± 0.7</w:t>
            </w:r>
          </w:p>
        </w:tc>
        <w:tc>
          <w:tcPr>
            <w:tcW w:w="339" w:type="pct"/>
            <w:noWrap/>
            <w:hideMark/>
          </w:tcPr>
          <w:p w14:paraId="5B65A0E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7.6 ± 0.8</w:t>
            </w:r>
          </w:p>
        </w:tc>
      </w:tr>
      <w:tr w:rsidR="00127619" w:rsidRPr="00F1067D" w14:paraId="13B1F5A9" w14:textId="77777777" w:rsidTr="00127619">
        <w:trPr>
          <w:trHeight w:val="20"/>
        </w:trPr>
        <w:tc>
          <w:tcPr>
            <w:tcW w:w="1297" w:type="pct"/>
            <w:gridSpan w:val="2"/>
          </w:tcPr>
          <w:p w14:paraId="2E3C7ED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Mean for light (L)</w:t>
            </w:r>
          </w:p>
        </w:tc>
        <w:tc>
          <w:tcPr>
            <w:tcW w:w="460" w:type="pct"/>
            <w:noWrap/>
          </w:tcPr>
          <w:p w14:paraId="61DA96F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" w:type="pct"/>
            <w:noWrap/>
          </w:tcPr>
          <w:p w14:paraId="19DF00B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" w:type="pct"/>
            <w:noWrap/>
          </w:tcPr>
          <w:p w14:paraId="1B2B24A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0" w:type="pct"/>
            <w:noWrap/>
          </w:tcPr>
          <w:p w14:paraId="612AE38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4" w:type="pct"/>
            <w:noWrap/>
          </w:tcPr>
          <w:p w14:paraId="4567945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pct"/>
            <w:noWrap/>
          </w:tcPr>
          <w:p w14:paraId="31B3002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pct"/>
            <w:noWrap/>
          </w:tcPr>
          <w:p w14:paraId="3B19F8F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noWrap/>
          </w:tcPr>
          <w:p w14:paraId="6E70EDE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D6480E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7619" w:rsidRPr="00F1067D" w14:paraId="6F47EDCC" w14:textId="77777777" w:rsidTr="00127619">
        <w:trPr>
          <w:trHeight w:val="20"/>
        </w:trPr>
        <w:tc>
          <w:tcPr>
            <w:tcW w:w="572" w:type="pct"/>
          </w:tcPr>
          <w:p w14:paraId="2D2A22D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L1</w:t>
            </w:r>
          </w:p>
        </w:tc>
        <w:tc>
          <w:tcPr>
            <w:tcW w:w="725" w:type="pct"/>
            <w:noWrap/>
          </w:tcPr>
          <w:p w14:paraId="4487992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" w:type="pct"/>
            <w:noWrap/>
          </w:tcPr>
          <w:p w14:paraId="210A469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1, 537.5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91" w:type="pct"/>
            <w:noWrap/>
          </w:tcPr>
          <w:p w14:paraId="224363F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1, 612.2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91" w:type="pct"/>
            <w:noWrap/>
          </w:tcPr>
          <w:p w14:paraId="0E5E519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1, 426.1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40" w:type="pct"/>
            <w:noWrap/>
          </w:tcPr>
          <w:p w14:paraId="536D18C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153.7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04" w:type="pct"/>
            <w:noWrap/>
          </w:tcPr>
          <w:p w14:paraId="1B5C34A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76.6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29" w:type="pct"/>
            <w:noWrap/>
          </w:tcPr>
          <w:p w14:paraId="3B5BD00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340" w:type="pct"/>
            <w:noWrap/>
          </w:tcPr>
          <w:p w14:paraId="4C4806E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6.8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09" w:type="pct"/>
            <w:noWrap/>
          </w:tcPr>
          <w:p w14:paraId="023D1FB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3.2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39" w:type="pct"/>
            <w:noWrap/>
          </w:tcPr>
          <w:p w14:paraId="7DF65C8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6.5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127619" w:rsidRPr="00F1067D" w14:paraId="2B472DE8" w14:textId="77777777" w:rsidTr="00127619">
        <w:trPr>
          <w:trHeight w:val="20"/>
        </w:trPr>
        <w:tc>
          <w:tcPr>
            <w:tcW w:w="572" w:type="pct"/>
          </w:tcPr>
          <w:p w14:paraId="357AA4B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L2</w:t>
            </w:r>
          </w:p>
        </w:tc>
        <w:tc>
          <w:tcPr>
            <w:tcW w:w="725" w:type="pct"/>
            <w:noWrap/>
          </w:tcPr>
          <w:p w14:paraId="3D0DF93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" w:type="pct"/>
            <w:noWrap/>
          </w:tcPr>
          <w:p w14:paraId="5C1D982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1, 365.6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91" w:type="pct"/>
            <w:noWrap/>
          </w:tcPr>
          <w:p w14:paraId="7663EC35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1, 360.1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91" w:type="pct"/>
            <w:noWrap/>
          </w:tcPr>
          <w:p w14:paraId="7269A2B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1, 206.8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40" w:type="pct"/>
            <w:noWrap/>
          </w:tcPr>
          <w:p w14:paraId="599525A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234.5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04" w:type="pct"/>
            <w:noWrap/>
          </w:tcPr>
          <w:p w14:paraId="49D2F87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138.3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29" w:type="pct"/>
            <w:noWrap/>
          </w:tcPr>
          <w:p w14:paraId="3D9219C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158.9</w:t>
            </w:r>
          </w:p>
        </w:tc>
        <w:tc>
          <w:tcPr>
            <w:tcW w:w="340" w:type="pct"/>
            <w:noWrap/>
          </w:tcPr>
          <w:p w14:paraId="28F31A5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9.3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09" w:type="pct"/>
            <w:noWrap/>
          </w:tcPr>
          <w:p w14:paraId="114666E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7.9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39" w:type="pct"/>
            <w:noWrap/>
          </w:tcPr>
          <w:p w14:paraId="54E689F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9.1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127619" w:rsidRPr="00F1067D" w14:paraId="77482E11" w14:textId="77777777" w:rsidTr="00127619">
        <w:trPr>
          <w:trHeight w:val="20"/>
        </w:trPr>
        <w:tc>
          <w:tcPr>
            <w:tcW w:w="1297" w:type="pct"/>
            <w:gridSpan w:val="2"/>
          </w:tcPr>
          <w:p w14:paraId="64B8F61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Mean for phosphorus (P)</w:t>
            </w:r>
          </w:p>
        </w:tc>
        <w:tc>
          <w:tcPr>
            <w:tcW w:w="460" w:type="pct"/>
            <w:noWrap/>
          </w:tcPr>
          <w:p w14:paraId="26C4F3B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" w:type="pct"/>
            <w:noWrap/>
          </w:tcPr>
          <w:p w14:paraId="6CC7ACB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" w:type="pct"/>
            <w:noWrap/>
          </w:tcPr>
          <w:p w14:paraId="433AE45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0" w:type="pct"/>
            <w:noWrap/>
          </w:tcPr>
          <w:p w14:paraId="4557C0F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4" w:type="pct"/>
            <w:noWrap/>
          </w:tcPr>
          <w:p w14:paraId="529397C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pct"/>
            <w:noWrap/>
          </w:tcPr>
          <w:p w14:paraId="0331ABE5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pct"/>
            <w:noWrap/>
          </w:tcPr>
          <w:p w14:paraId="239C2F6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noWrap/>
          </w:tcPr>
          <w:p w14:paraId="39D4747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685D4F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7619" w:rsidRPr="00F1067D" w14:paraId="6B4F4AB7" w14:textId="77777777" w:rsidTr="00127619">
        <w:trPr>
          <w:trHeight w:val="20"/>
        </w:trPr>
        <w:tc>
          <w:tcPr>
            <w:tcW w:w="572" w:type="pct"/>
          </w:tcPr>
          <w:p w14:paraId="271C4BA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P0</w:t>
            </w:r>
          </w:p>
        </w:tc>
        <w:tc>
          <w:tcPr>
            <w:tcW w:w="725" w:type="pct"/>
            <w:noWrap/>
          </w:tcPr>
          <w:p w14:paraId="038FC4F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" w:type="pct"/>
            <w:noWrap/>
          </w:tcPr>
          <w:p w14:paraId="3D83725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1, 391.2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91" w:type="pct"/>
            <w:noWrap/>
          </w:tcPr>
          <w:p w14:paraId="76C6928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1, 382.5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91" w:type="pct"/>
            <w:noWrap/>
          </w:tcPr>
          <w:p w14:paraId="3AF028D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1, 238.6</w:t>
            </w:r>
          </w:p>
        </w:tc>
        <w:tc>
          <w:tcPr>
            <w:tcW w:w="440" w:type="pct"/>
            <w:noWrap/>
          </w:tcPr>
          <w:p w14:paraId="2A5BE49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217.4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04" w:type="pct"/>
            <w:noWrap/>
          </w:tcPr>
          <w:p w14:paraId="225CA9C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145.9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29" w:type="pct"/>
            <w:noWrap/>
          </w:tcPr>
          <w:p w14:paraId="57EA10F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185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0" w:type="pct"/>
            <w:noWrap/>
          </w:tcPr>
          <w:p w14:paraId="499A574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8.6</w:t>
            </w:r>
          </w:p>
        </w:tc>
        <w:tc>
          <w:tcPr>
            <w:tcW w:w="309" w:type="pct"/>
            <w:noWrap/>
          </w:tcPr>
          <w:p w14:paraId="411346C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6.8</w:t>
            </w:r>
          </w:p>
        </w:tc>
        <w:tc>
          <w:tcPr>
            <w:tcW w:w="339" w:type="pct"/>
            <w:noWrap/>
          </w:tcPr>
          <w:p w14:paraId="1B8F80D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9.4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127619" w:rsidRPr="00F1067D" w14:paraId="24464666" w14:textId="77777777" w:rsidTr="00127619">
        <w:trPr>
          <w:trHeight w:val="20"/>
        </w:trPr>
        <w:tc>
          <w:tcPr>
            <w:tcW w:w="572" w:type="pct"/>
          </w:tcPr>
          <w:p w14:paraId="5BF243A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725" w:type="pct"/>
            <w:noWrap/>
          </w:tcPr>
          <w:p w14:paraId="781AD44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" w:type="pct"/>
            <w:noWrap/>
          </w:tcPr>
          <w:p w14:paraId="384DB95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1, 512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91" w:type="pct"/>
            <w:noWrap/>
          </w:tcPr>
          <w:p w14:paraId="18CC6F5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1, 589.8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91" w:type="pct"/>
            <w:noWrap/>
          </w:tcPr>
          <w:p w14:paraId="75D9091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1, 394.3</w:t>
            </w:r>
          </w:p>
        </w:tc>
        <w:tc>
          <w:tcPr>
            <w:tcW w:w="440" w:type="pct"/>
            <w:noWrap/>
          </w:tcPr>
          <w:p w14:paraId="223DB98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170.8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04" w:type="pct"/>
            <w:noWrap/>
          </w:tcPr>
          <w:p w14:paraId="3504311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68.9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29" w:type="pct"/>
            <w:noWrap/>
          </w:tcPr>
          <w:p w14:paraId="7CDCE5A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103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40" w:type="pct"/>
            <w:noWrap/>
          </w:tcPr>
          <w:p w14:paraId="4163E3E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7.4</w:t>
            </w:r>
          </w:p>
        </w:tc>
        <w:tc>
          <w:tcPr>
            <w:tcW w:w="309" w:type="pct"/>
            <w:noWrap/>
          </w:tcPr>
          <w:p w14:paraId="302B0ED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339" w:type="pct"/>
            <w:noWrap/>
          </w:tcPr>
          <w:p w14:paraId="7EE4A2C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6.2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127619" w:rsidRPr="00F1067D" w14:paraId="56B7D230" w14:textId="77777777" w:rsidTr="00127619">
        <w:trPr>
          <w:trHeight w:val="20"/>
        </w:trPr>
        <w:tc>
          <w:tcPr>
            <w:tcW w:w="1297" w:type="pct"/>
            <w:gridSpan w:val="2"/>
            <w:noWrap/>
            <w:hideMark/>
          </w:tcPr>
          <w:p w14:paraId="37078C4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Significance</w:t>
            </w:r>
          </w:p>
        </w:tc>
        <w:tc>
          <w:tcPr>
            <w:tcW w:w="460" w:type="pct"/>
            <w:noWrap/>
            <w:hideMark/>
          </w:tcPr>
          <w:p w14:paraId="379C3AE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" w:type="pct"/>
            <w:noWrap/>
            <w:hideMark/>
          </w:tcPr>
          <w:p w14:paraId="7F8BBC7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" w:type="pct"/>
            <w:noWrap/>
            <w:hideMark/>
          </w:tcPr>
          <w:p w14:paraId="2EC98B8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0" w:type="pct"/>
            <w:noWrap/>
            <w:hideMark/>
          </w:tcPr>
          <w:p w14:paraId="04F993E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4" w:type="pct"/>
            <w:noWrap/>
            <w:hideMark/>
          </w:tcPr>
          <w:p w14:paraId="75ACD08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pct"/>
            <w:noWrap/>
            <w:hideMark/>
          </w:tcPr>
          <w:p w14:paraId="01C988D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pct"/>
            <w:noWrap/>
            <w:hideMark/>
          </w:tcPr>
          <w:p w14:paraId="2B927A7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noWrap/>
            <w:hideMark/>
          </w:tcPr>
          <w:p w14:paraId="2D700397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3D468DB9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7619" w:rsidRPr="00F1067D" w14:paraId="15211176" w14:textId="77777777" w:rsidTr="00127619">
        <w:trPr>
          <w:trHeight w:val="20"/>
        </w:trPr>
        <w:tc>
          <w:tcPr>
            <w:tcW w:w="1297" w:type="pct"/>
            <w:gridSpan w:val="2"/>
            <w:noWrap/>
            <w:hideMark/>
          </w:tcPr>
          <w:p w14:paraId="65076F6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460" w:type="pct"/>
            <w:noWrap/>
            <w:hideMark/>
          </w:tcPr>
          <w:p w14:paraId="694A8954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91" w:type="pct"/>
            <w:noWrap/>
            <w:hideMark/>
          </w:tcPr>
          <w:p w14:paraId="6B83487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91" w:type="pct"/>
            <w:noWrap/>
            <w:hideMark/>
          </w:tcPr>
          <w:p w14:paraId="267FB4C1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40" w:type="pct"/>
            <w:noWrap/>
            <w:hideMark/>
          </w:tcPr>
          <w:p w14:paraId="0C461A85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404" w:type="pct"/>
            <w:noWrap/>
            <w:hideMark/>
          </w:tcPr>
          <w:p w14:paraId="787421F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429" w:type="pct"/>
            <w:noWrap/>
            <w:hideMark/>
          </w:tcPr>
          <w:p w14:paraId="1A476BF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340" w:type="pct"/>
            <w:noWrap/>
            <w:hideMark/>
          </w:tcPr>
          <w:p w14:paraId="410623A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309" w:type="pct"/>
            <w:noWrap/>
            <w:hideMark/>
          </w:tcPr>
          <w:p w14:paraId="23934CC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339" w:type="pct"/>
            <w:noWrap/>
            <w:hideMark/>
          </w:tcPr>
          <w:p w14:paraId="64F48F0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</w:tr>
      <w:tr w:rsidR="00127619" w:rsidRPr="00F1067D" w14:paraId="03051B3D" w14:textId="77777777" w:rsidTr="00127619">
        <w:trPr>
          <w:trHeight w:val="20"/>
        </w:trPr>
        <w:tc>
          <w:tcPr>
            <w:tcW w:w="1297" w:type="pct"/>
            <w:gridSpan w:val="2"/>
            <w:noWrap/>
            <w:hideMark/>
          </w:tcPr>
          <w:p w14:paraId="30A79BA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</w:p>
        </w:tc>
        <w:tc>
          <w:tcPr>
            <w:tcW w:w="460" w:type="pct"/>
            <w:noWrap/>
            <w:hideMark/>
          </w:tcPr>
          <w:p w14:paraId="290A5F6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91" w:type="pct"/>
            <w:noWrap/>
            <w:hideMark/>
          </w:tcPr>
          <w:p w14:paraId="0DFBE70A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91" w:type="pct"/>
            <w:noWrap/>
            <w:hideMark/>
          </w:tcPr>
          <w:p w14:paraId="13DB299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40" w:type="pct"/>
            <w:noWrap/>
            <w:hideMark/>
          </w:tcPr>
          <w:p w14:paraId="59D6B60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404" w:type="pct"/>
            <w:noWrap/>
            <w:hideMark/>
          </w:tcPr>
          <w:p w14:paraId="1D132622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429" w:type="pct"/>
            <w:noWrap/>
            <w:hideMark/>
          </w:tcPr>
          <w:p w14:paraId="02AAA12D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340" w:type="pct"/>
            <w:noWrap/>
            <w:hideMark/>
          </w:tcPr>
          <w:p w14:paraId="66F5DF0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309" w:type="pct"/>
            <w:noWrap/>
            <w:hideMark/>
          </w:tcPr>
          <w:p w14:paraId="0179619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339" w:type="pct"/>
            <w:noWrap/>
            <w:hideMark/>
          </w:tcPr>
          <w:p w14:paraId="28A2A79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</w:tr>
      <w:tr w:rsidR="00127619" w:rsidRPr="00F1067D" w14:paraId="05D300C4" w14:textId="77777777" w:rsidTr="00127619">
        <w:trPr>
          <w:trHeight w:val="20"/>
        </w:trPr>
        <w:tc>
          <w:tcPr>
            <w:tcW w:w="1297" w:type="pct"/>
            <w:gridSpan w:val="2"/>
            <w:noWrap/>
            <w:hideMark/>
          </w:tcPr>
          <w:p w14:paraId="75F2B309" w14:textId="05F8F12C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FB77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×</w:t>
            </w:r>
            <w:r w:rsidR="00FB77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</w:p>
        </w:tc>
        <w:tc>
          <w:tcPr>
            <w:tcW w:w="460" w:type="pct"/>
            <w:noWrap/>
            <w:hideMark/>
          </w:tcPr>
          <w:p w14:paraId="7ACB477B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91" w:type="pct"/>
            <w:noWrap/>
            <w:hideMark/>
          </w:tcPr>
          <w:p w14:paraId="638245DF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91" w:type="pct"/>
            <w:noWrap/>
            <w:hideMark/>
          </w:tcPr>
          <w:p w14:paraId="17BF7686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40" w:type="pct"/>
            <w:noWrap/>
            <w:hideMark/>
          </w:tcPr>
          <w:p w14:paraId="2732A57C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04" w:type="pct"/>
            <w:noWrap/>
            <w:hideMark/>
          </w:tcPr>
          <w:p w14:paraId="5D033F5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429" w:type="pct"/>
            <w:noWrap/>
            <w:hideMark/>
          </w:tcPr>
          <w:p w14:paraId="60A2D143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340" w:type="pct"/>
            <w:noWrap/>
            <w:hideMark/>
          </w:tcPr>
          <w:p w14:paraId="6142E88E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309" w:type="pct"/>
            <w:noWrap/>
            <w:hideMark/>
          </w:tcPr>
          <w:p w14:paraId="5EE07B08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  <w:tc>
          <w:tcPr>
            <w:tcW w:w="339" w:type="pct"/>
            <w:noWrap/>
            <w:hideMark/>
          </w:tcPr>
          <w:p w14:paraId="64DCCDE0" w14:textId="77777777" w:rsidR="00F1067D" w:rsidRPr="00F1067D" w:rsidRDefault="00F1067D" w:rsidP="00127619">
            <w:pPr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67D">
              <w:rPr>
                <w:rFonts w:ascii="Times New Roman" w:hAnsi="Times New Roman" w:cs="Times New Roman"/>
                <w:bCs/>
                <w:sz w:val="20"/>
                <w:szCs w:val="20"/>
              </w:rPr>
              <w:t>ns</w:t>
            </w:r>
          </w:p>
        </w:tc>
      </w:tr>
    </w:tbl>
    <w:p w14:paraId="1EFFED29" w14:textId="77777777" w:rsidR="00127619" w:rsidRDefault="00127619">
      <w:pPr>
        <w:widowControl/>
        <w:spacing w:after="160" w:line="259" w:lineRule="auto"/>
        <w:jc w:val="left"/>
        <w:rPr>
          <w:rFonts w:ascii="Times New Roman" w:eastAsia="SimSun" w:hAnsi="Times New Roman" w:cs="Times New Roman"/>
          <w:bCs/>
          <w:sz w:val="20"/>
          <w:szCs w:val="20"/>
        </w:rPr>
      </w:pPr>
      <w:r>
        <w:rPr>
          <w:rFonts w:ascii="Times New Roman" w:eastAsia="SimSun" w:hAnsi="Times New Roman" w:cs="Times New Roman"/>
          <w:bCs/>
          <w:sz w:val="20"/>
          <w:szCs w:val="20"/>
        </w:rPr>
        <w:br w:type="page"/>
      </w:r>
    </w:p>
    <w:p w14:paraId="405ED2D4" w14:textId="77777777" w:rsidR="00127619" w:rsidRDefault="00127619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  <w:sectPr w:rsidR="00127619" w:rsidSect="00127619">
          <w:footerReference w:type="default" r:id="rId6"/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63134830" w14:textId="0E7969A7" w:rsid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  <w:r w:rsidRPr="00F1067D">
        <w:rPr>
          <w:rFonts w:ascii="Times New Roman" w:eastAsia="SimSun" w:hAnsi="Times New Roman" w:cs="Times New Roman"/>
          <w:bCs/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2AE368EB" wp14:editId="2AD948D4">
            <wp:extent cx="3960000" cy="24408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737 Fig.1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4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D7E0" w14:textId="0D226B8F" w:rsid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</w:p>
    <w:p w14:paraId="7042C143" w14:textId="769EDD42" w:rsidR="00F1067D" w:rsidRP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  <w:r w:rsidRPr="00F1067D">
        <w:rPr>
          <w:rFonts w:ascii="Times New Roman" w:eastAsia="DengXian" w:hAnsi="Times New Roman" w:cs="Times New Roman"/>
          <w:bCs/>
          <w:iCs/>
          <w:sz w:val="20"/>
          <w:szCs w:val="20"/>
        </w:rPr>
        <w:t>Fig. 1S</w:t>
      </w:r>
      <w:r w:rsidR="00FB776E">
        <w:rPr>
          <w:rFonts w:ascii="Times New Roman" w:eastAsia="DengXian" w:hAnsi="Times New Roman" w:cs="Times New Roman"/>
          <w:bCs/>
          <w:iCs/>
          <w:sz w:val="20"/>
          <w:szCs w:val="20"/>
        </w:rPr>
        <w:t>.</w:t>
      </w:r>
      <w:r w:rsidRPr="00F1067D">
        <w:rPr>
          <w:rFonts w:ascii="Times New Roman" w:eastAsia="DengXian" w:hAnsi="Times New Roman" w:cs="Times New Roman"/>
          <w:bCs/>
          <w:iCs/>
          <w:sz w:val="20"/>
          <w:szCs w:val="20"/>
        </w:rPr>
        <w:t xml:space="preserve"> The light intensity on the upper of L1 and L2 treatment. L1: ambient sunlight; L2: 40% shade.</w:t>
      </w:r>
    </w:p>
    <w:p w14:paraId="7C8509B6" w14:textId="77777777" w:rsidR="00F1067D" w:rsidRP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</w:p>
    <w:p w14:paraId="294CFC77" w14:textId="02CD06B5" w:rsidR="00F1067D" w:rsidRDefault="00F1067D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F1067D">
        <w:rPr>
          <w:rFonts w:ascii="Times New Roman" w:hAnsi="Times New Roman" w:cs="Times New Roman"/>
          <w:bCs/>
          <w:noProof/>
          <w:sz w:val="20"/>
          <w:szCs w:val="20"/>
          <w:lang w:val="cs-CZ" w:eastAsia="cs-CZ"/>
        </w:rPr>
        <w:drawing>
          <wp:inline distT="0" distB="0" distL="0" distR="0" wp14:anchorId="452C6C63" wp14:editId="3871B6B3">
            <wp:extent cx="5583600" cy="2433600"/>
            <wp:effectExtent l="0" t="0" r="0" b="5080"/>
            <wp:docPr id="13" name="图片 13" descr="Obsah obrázku text, mikrosko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Obsah obrázku text, mikroskop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600" cy="24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70E7F" w14:textId="4A5D6B2A" w:rsidR="00F1067D" w:rsidRDefault="00F1067D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22405BD3" w14:textId="685002F9" w:rsidR="00F1067D" w:rsidRPr="00F1067D" w:rsidRDefault="00F1067D" w:rsidP="00F1067D">
      <w:pPr>
        <w:pStyle w:val="Titulek"/>
        <w:spacing w:after="0"/>
        <w:contextualSpacing/>
        <w:rPr>
          <w:rFonts w:ascii="Times New Roman" w:eastAsia="SimSun" w:hAnsi="Times New Roman" w:cs="Times New Roman"/>
          <w:bCs/>
          <w:i w:val="0"/>
          <w:sz w:val="20"/>
          <w:szCs w:val="20"/>
        </w:rPr>
      </w:pP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Fig. 2S</w:t>
      </w:r>
      <w:r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.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Changes in the plant</w:t>
      </w:r>
      <w:r w:rsidR="00FB776E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'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s light energy utilization efficiency (</w:t>
      </w:r>
      <w:r w:rsidRPr="00F1067D">
        <w:rPr>
          <w:rFonts w:ascii="Times New Roman" w:eastAsia="DengXian" w:hAnsi="Times New Roman" w:cs="Times New Roman"/>
          <w:bCs/>
          <w:iCs w:val="0"/>
          <w:color w:val="auto"/>
          <w:sz w:val="20"/>
          <w:szCs w:val="20"/>
        </w:rPr>
        <w:t>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N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/</w:t>
      </w:r>
      <w:r w:rsidRPr="00F1067D">
        <w:rPr>
          <w:rFonts w:ascii="Times New Roman" w:eastAsia="DengXian" w:hAnsi="Times New Roman" w:cs="Times New Roman"/>
          <w:bCs/>
          <w:iCs w:val="0"/>
          <w:color w:val="auto"/>
          <w:sz w:val="20"/>
          <w:szCs w:val="20"/>
        </w:rPr>
        <w:t>I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of different treatments. L1: ambient sunlight; L2: 40% shade; P0: phosphate fertilizer application of 0 kg(P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5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ha</w:t>
      </w:r>
      <w:r w:rsidR="00FB776E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; P1: phosphate fertilizer application of 180 kg(P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5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ha</w:t>
      </w:r>
      <w:r w:rsidR="00FB776E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. Data are means of six replications. </w:t>
      </w:r>
      <w:r w:rsidRPr="00FB776E">
        <w:rPr>
          <w:rFonts w:ascii="Times New Roman" w:eastAsia="DengXian" w:hAnsi="Times New Roman" w:cs="Times New Roman"/>
          <w:bCs/>
          <w:color w:val="auto"/>
          <w:sz w:val="20"/>
          <w:szCs w:val="20"/>
        </w:rPr>
        <w:t>Lowercase letters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above bars indicate significant differences </w:t>
      </w:r>
      <w:r w:rsidR="00FB776E"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at </w:t>
      </w:r>
      <w:r w:rsidR="00FB776E" w:rsidRPr="00F1067D">
        <w:rPr>
          <w:rFonts w:ascii="Times New Roman" w:eastAsia="DengXian" w:hAnsi="Times New Roman" w:cs="Times New Roman"/>
          <w:bCs/>
          <w:iCs w:val="0"/>
          <w:color w:val="auto"/>
          <w:sz w:val="20"/>
          <w:szCs w:val="20"/>
        </w:rPr>
        <w:t>P</w:t>
      </w:r>
      <w:r w:rsidR="00FB776E"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&lt;0.0</w:t>
      </w:r>
      <w:r w:rsidR="00FB776E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5 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between the 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light intensity 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treatments 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(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100 and 800 </w:t>
      </w:r>
      <w:proofErr w:type="spellStart"/>
      <w:r w:rsidR="00FB776E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μ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mol</w:t>
      </w:r>
      <w:proofErr w:type="spell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m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s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–1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).</w:t>
      </w:r>
    </w:p>
    <w:p w14:paraId="7CE50CA3" w14:textId="4C8E774F" w:rsidR="00F1067D" w:rsidRDefault="00F1067D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1083FCC6" w14:textId="1F530B45" w:rsidR="00D07372" w:rsidRDefault="00D07372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4FE41E12" w14:textId="4EADAA60" w:rsidR="00D07372" w:rsidRDefault="00D07372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776DFC9D" w14:textId="7AB6F0C5" w:rsidR="00D07372" w:rsidRDefault="00D07372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573FB924" w14:textId="77777777" w:rsidR="00D07372" w:rsidRPr="00F1067D" w:rsidRDefault="00D07372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4AA173BA" w14:textId="2304146E" w:rsid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  <w:r w:rsidRPr="00F1067D">
        <w:rPr>
          <w:rFonts w:ascii="Times New Roman" w:eastAsia="SimSun" w:hAnsi="Times New Roman" w:cs="Times New Roman"/>
          <w:bCs/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3E16636D" wp14:editId="10BE55A9">
            <wp:extent cx="5576400" cy="2257200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737 Fig.3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D2798" w14:textId="77777777" w:rsidR="00D07372" w:rsidRDefault="00D07372" w:rsidP="00F1067D">
      <w:pPr>
        <w:pStyle w:val="Titulek"/>
        <w:spacing w:after="0"/>
        <w:contextualSpacing/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</w:pPr>
      <w:bookmarkStart w:id="0" w:name="_Ref66291458"/>
      <w:bookmarkStart w:id="1" w:name="_Ref66290703"/>
    </w:p>
    <w:p w14:paraId="12F51462" w14:textId="2ABEFE72" w:rsidR="00F1067D" w:rsidRPr="00F1067D" w:rsidRDefault="00F1067D" w:rsidP="00F1067D">
      <w:pPr>
        <w:pStyle w:val="Titulek"/>
        <w:spacing w:after="0"/>
        <w:contextualSpacing/>
        <w:rPr>
          <w:rFonts w:ascii="Times New Roman" w:eastAsia="SimSun" w:hAnsi="Times New Roman" w:cs="Times New Roman"/>
          <w:bCs/>
          <w:i w:val="0"/>
          <w:sz w:val="20"/>
          <w:szCs w:val="20"/>
        </w:rPr>
      </w:pP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Fig. </w:t>
      </w:r>
      <w:bookmarkEnd w:id="0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3S</w:t>
      </w:r>
      <w:r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.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Changes in net photosynthetic rate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intercellular CO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concentration curve (</w:t>
      </w:r>
      <w:r w:rsidRPr="00F1067D">
        <w:rPr>
          <w:rFonts w:ascii="Times New Roman" w:eastAsia="DengXian" w:hAnsi="Times New Roman" w:cs="Times New Roman"/>
          <w:bCs/>
          <w:iCs w:val="0"/>
          <w:color w:val="auto"/>
          <w:sz w:val="20"/>
          <w:szCs w:val="20"/>
        </w:rPr>
        <w:t>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N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–</w:t>
      </w:r>
      <w:r w:rsidRPr="00F1067D">
        <w:rPr>
          <w:rFonts w:ascii="Times New Roman" w:eastAsia="DengXian" w:hAnsi="Times New Roman" w:cs="Times New Roman"/>
          <w:bCs/>
          <w:iCs w:val="0"/>
          <w:color w:val="auto"/>
          <w:sz w:val="20"/>
          <w:szCs w:val="20"/>
        </w:rPr>
        <w:t>C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i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of different treatments. L1: ambient sunlight; L2: 40% shade; P0: phosphate fertilizer application of 0 kg(P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5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) 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br/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ha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; P1: phosphate fertilizer application of 180 kg(P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5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ha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. Data are means of six replications.</w:t>
      </w:r>
      <w:bookmarkEnd w:id="1"/>
    </w:p>
    <w:p w14:paraId="223C349D" w14:textId="77777777" w:rsidR="00F1067D" w:rsidRP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</w:p>
    <w:p w14:paraId="1E6F3225" w14:textId="67F05D55" w:rsidR="00F1067D" w:rsidRDefault="00F1067D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  <w:r w:rsidRPr="00F1067D">
        <w:rPr>
          <w:rFonts w:ascii="Times New Roman" w:eastAsia="SimSun" w:hAnsi="Times New Roman" w:cs="Times New Roman"/>
          <w:bCs/>
          <w:noProof/>
          <w:sz w:val="20"/>
          <w:szCs w:val="20"/>
          <w:lang w:val="cs-CZ" w:eastAsia="cs-CZ"/>
        </w:rPr>
        <w:drawing>
          <wp:inline distT="0" distB="0" distL="0" distR="0" wp14:anchorId="6AAA8765" wp14:editId="5675DE5A">
            <wp:extent cx="5587200" cy="2217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737 Fig.4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200" cy="22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98124" w14:textId="77777777" w:rsidR="00D07372" w:rsidRPr="00F1067D" w:rsidRDefault="00D07372" w:rsidP="00F1067D">
      <w:pPr>
        <w:contextualSpacing/>
        <w:rPr>
          <w:rFonts w:ascii="Times New Roman" w:eastAsia="SimSun" w:hAnsi="Times New Roman" w:cs="Times New Roman"/>
          <w:bCs/>
          <w:sz w:val="20"/>
          <w:szCs w:val="20"/>
        </w:rPr>
      </w:pPr>
    </w:p>
    <w:p w14:paraId="623E4CD2" w14:textId="722BDC7B" w:rsidR="00F1067D" w:rsidRPr="00F1067D" w:rsidRDefault="00F1067D" w:rsidP="00F1067D">
      <w:pPr>
        <w:pStyle w:val="Titulek"/>
        <w:spacing w:after="0"/>
        <w:contextualSpacing/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</w:pPr>
      <w:bookmarkStart w:id="2" w:name="_Ref66291165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Fig. </w:t>
      </w:r>
      <w:bookmarkEnd w:id="2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4S</w:t>
      </w:r>
      <w:r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.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Changes in </w:t>
      </w:r>
      <w:proofErr w:type="spellStart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Chl</w:t>
      </w:r>
      <w:proofErr w:type="spell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Pr="00D07372">
        <w:rPr>
          <w:rFonts w:ascii="Times New Roman" w:eastAsia="DengXian" w:hAnsi="Times New Roman" w:cs="Times New Roman"/>
          <w:bCs/>
          <w:color w:val="auto"/>
          <w:sz w:val="20"/>
          <w:szCs w:val="20"/>
        </w:rPr>
        <w:t>a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fluorescence transient curves (OJIP) of different treatments. The upper curves represent the rise in the relative variable fluorescence normalized between </w:t>
      </w:r>
      <w:proofErr w:type="spellStart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F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o</w:t>
      </w:r>
      <w:proofErr w:type="spell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and F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m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and plotted as V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t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changes on a logarithmic scale [V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t</w:t>
      </w:r>
      <w:r w:rsidR="00D07372" w:rsidRP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= (F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t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− </w:t>
      </w:r>
      <w:proofErr w:type="spellStart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F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o</w:t>
      </w:r>
      <w:proofErr w:type="spell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</w:t>
      </w:r>
      <w:proofErr w:type="gramStart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/(</w:t>
      </w:r>
      <w:proofErr w:type="gram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F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m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− </w:t>
      </w:r>
      <w:proofErr w:type="spellStart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F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o</w:t>
      </w:r>
      <w:proofErr w:type="spell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)]</w:t>
      </w:r>
      <w:r w:rsidRPr="00F1067D">
        <w:rPr>
          <w:rFonts w:ascii="Times New Roman" w:eastAsia="DengXian" w:hAnsi="Times New Roman" w:cs="Times New Roman"/>
          <w:bCs/>
          <w:iCs w:val="0"/>
          <w:color w:val="auto"/>
          <w:sz w:val="20"/>
          <w:szCs w:val="20"/>
        </w:rPr>
        <w:t>.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The </w:t>
      </w:r>
      <w:proofErr w:type="spellStart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ΔV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t</w:t>
      </w:r>
      <w:proofErr w:type="spellEnd"/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 xml:space="preserve"> values were derived (lower curves) from these OJIP curves (</w:t>
      </w:r>
      <w:r w:rsidRPr="00F1067D">
        <w:rPr>
          <w:rFonts w:ascii="Times New Roman" w:hAnsi="Times New Roman" w:cs="Times New Roman"/>
          <w:bCs/>
          <w:i w:val="0"/>
          <w:color w:val="auto"/>
          <w:sz w:val="20"/>
          <w:szCs w:val="20"/>
        </w:rPr>
        <w:t xml:space="preserve">Strasser </w:t>
      </w:r>
      <w:r w:rsidRPr="00F1067D">
        <w:rPr>
          <w:rFonts w:ascii="Times New Roman" w:hAnsi="Times New Roman" w:cs="Times New Roman"/>
          <w:bCs/>
          <w:color w:val="auto"/>
          <w:sz w:val="20"/>
          <w:szCs w:val="20"/>
        </w:rPr>
        <w:t>et al</w:t>
      </w:r>
      <w:r w:rsidRPr="00F1067D">
        <w:rPr>
          <w:rFonts w:ascii="Times New Roman" w:hAnsi="Times New Roman" w:cs="Times New Roman"/>
          <w:bCs/>
          <w:i w:val="0"/>
          <w:color w:val="auto"/>
          <w:sz w:val="20"/>
          <w:szCs w:val="20"/>
        </w:rPr>
        <w:t>. 1992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). L1: ambient sunlight; L2: 40% shade; P0: phosphate fertilizer application of 0 kg(P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5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ha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; P1: phosphate fertilizer application of 180 kg (P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2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O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bscript"/>
        </w:rPr>
        <w:t>5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) ha</w:t>
      </w:r>
      <w:r w:rsidR="00D07372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–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F1067D">
        <w:rPr>
          <w:rFonts w:ascii="Times New Roman" w:eastAsia="DengXian" w:hAnsi="Times New Roman" w:cs="Times New Roman"/>
          <w:bCs/>
          <w:i w:val="0"/>
          <w:iCs w:val="0"/>
          <w:color w:val="auto"/>
          <w:sz w:val="20"/>
          <w:szCs w:val="20"/>
        </w:rPr>
        <w:t>. Data are means of nine replications.</w:t>
      </w:r>
    </w:p>
    <w:p w14:paraId="59F3E4CD" w14:textId="77777777" w:rsidR="001F1CB8" w:rsidRDefault="001F1CB8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4F578DBF" w14:textId="31927088" w:rsidR="00AB5E63" w:rsidRDefault="001F1CB8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Reference:</w:t>
      </w:r>
    </w:p>
    <w:bookmarkStart w:id="3" w:name="_Ref66289777"/>
    <w:p w14:paraId="0063A8EE" w14:textId="77777777" w:rsidR="001F1CB8" w:rsidRPr="001F1CB8" w:rsidRDefault="001F1CB8" w:rsidP="001F1CB8">
      <w:pPr>
        <w:pStyle w:val="EndNoteBibliography"/>
        <w:contextualSpacing/>
        <w:rPr>
          <w:rFonts w:ascii="Times New Roman" w:hAnsi="Times New Roman" w:cs="Times New Roman"/>
          <w:bCs/>
          <w:szCs w:val="20"/>
        </w:rPr>
      </w:pPr>
      <w:r w:rsidRPr="001F1CB8">
        <w:rPr>
          <w:rFonts w:ascii="Times New Roman" w:hAnsi="Times New Roman" w:cs="Times New Roman"/>
          <w:bCs/>
          <w:szCs w:val="20"/>
        </w:rPr>
        <w:fldChar w:fldCharType="begin"/>
      </w:r>
      <w:r w:rsidRPr="001F1CB8">
        <w:rPr>
          <w:rFonts w:ascii="Times New Roman" w:hAnsi="Times New Roman" w:cs="Times New Roman"/>
          <w:bCs/>
          <w:szCs w:val="20"/>
        </w:rPr>
        <w:instrText xml:space="preserve"> HYPERLINK "https://link.springer.com/chapter/10.1007%2F978-1-4615-3366-5_60" </w:instrText>
      </w:r>
      <w:r w:rsidRPr="001F1CB8">
        <w:rPr>
          <w:rFonts w:ascii="Times New Roman" w:hAnsi="Times New Roman" w:cs="Times New Roman"/>
          <w:bCs/>
          <w:szCs w:val="20"/>
        </w:rPr>
        <w:fldChar w:fldCharType="separate"/>
      </w:r>
      <w:r w:rsidRPr="001F1CB8">
        <w:rPr>
          <w:rStyle w:val="Hypertextovodkaz"/>
          <w:rFonts w:ascii="Times New Roman" w:hAnsi="Times New Roman" w:cs="Times New Roman"/>
          <w:bCs/>
          <w:szCs w:val="20"/>
        </w:rPr>
        <w:t xml:space="preserve">Strasser R.J., Govindjee: The F0 and the O-J-I-P fluorescence rise in higher plants and algae. – In: Argyroudi-Akoyunoglou J.H. (ed.): Regulation of Chloroplast Biogenesis. Pp. 423-426. </w:t>
      </w:r>
      <w:r w:rsidRPr="001F1CB8">
        <w:rPr>
          <w:rStyle w:val="Hypertextovodkaz"/>
          <w:rFonts w:ascii="Times New Roman" w:hAnsi="Times New Roman" w:cs="Times New Roman"/>
          <w:bCs/>
          <w:spacing w:val="4"/>
          <w:szCs w:val="20"/>
          <w:shd w:val="clear" w:color="auto" w:fill="FCFCFC"/>
        </w:rPr>
        <w:t xml:space="preserve">Springer, Boston </w:t>
      </w:r>
      <w:r w:rsidRPr="001F1CB8">
        <w:rPr>
          <w:rStyle w:val="Hypertextovodkaz"/>
          <w:rFonts w:ascii="Times New Roman" w:hAnsi="Times New Roman" w:cs="Times New Roman"/>
          <w:bCs/>
          <w:szCs w:val="20"/>
        </w:rPr>
        <w:t>1992.</w:t>
      </w:r>
      <w:bookmarkEnd w:id="3"/>
      <w:r w:rsidRPr="001F1CB8">
        <w:rPr>
          <w:rFonts w:ascii="Times New Roman" w:hAnsi="Times New Roman" w:cs="Times New Roman"/>
          <w:bCs/>
          <w:szCs w:val="20"/>
        </w:rPr>
        <w:fldChar w:fldCharType="end"/>
      </w:r>
    </w:p>
    <w:p w14:paraId="712FB31B" w14:textId="77777777" w:rsidR="001F1CB8" w:rsidRPr="00F1067D" w:rsidRDefault="001F1CB8" w:rsidP="00F1067D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sectPr w:rsidR="001F1CB8" w:rsidRPr="00F1067D" w:rsidSect="00127619">
      <w:pgSz w:w="11906" w:h="16838"/>
      <w:pgMar w:top="1440" w:right="1797" w:bottom="1440" w:left="1797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BADC" w14:textId="77777777" w:rsidR="00593CD1" w:rsidRDefault="00593CD1">
      <w:r>
        <w:separator/>
      </w:r>
    </w:p>
  </w:endnote>
  <w:endnote w:type="continuationSeparator" w:id="0">
    <w:p w14:paraId="3ABF6501" w14:textId="77777777" w:rsidR="00593CD1" w:rsidRDefault="0059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66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50ADD" w14:textId="77777777" w:rsidR="009E63FB" w:rsidRDefault="00D0737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026EAB5D" w14:textId="77777777" w:rsidR="009E63FB" w:rsidRDefault="00593C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B2E7" w14:textId="77777777" w:rsidR="00593CD1" w:rsidRDefault="00593CD1">
      <w:r>
        <w:separator/>
      </w:r>
    </w:p>
  </w:footnote>
  <w:footnote w:type="continuationSeparator" w:id="0">
    <w:p w14:paraId="41B8C73A" w14:textId="77777777" w:rsidR="00593CD1" w:rsidRDefault="0059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7D"/>
    <w:rsid w:val="00127619"/>
    <w:rsid w:val="001F1CB8"/>
    <w:rsid w:val="00593CD1"/>
    <w:rsid w:val="00AB5E63"/>
    <w:rsid w:val="00D07372"/>
    <w:rsid w:val="00F1067D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C73D"/>
  <w15:chartTrackingRefBased/>
  <w15:docId w15:val="{30A9E89A-910E-4E41-923D-2F0F819B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67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10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F1067D"/>
    <w:rPr>
      <w:rFonts w:eastAsiaTheme="minorEastAsia"/>
      <w:kern w:val="2"/>
      <w:sz w:val="18"/>
      <w:szCs w:val="18"/>
      <w:lang w:val="en-US" w:eastAsia="zh-CN"/>
    </w:rPr>
  </w:style>
  <w:style w:type="paragraph" w:styleId="Titulek">
    <w:name w:val="caption"/>
    <w:basedOn w:val="Normln"/>
    <w:next w:val="Normln"/>
    <w:uiPriority w:val="35"/>
    <w:unhideWhenUsed/>
    <w:qFormat/>
    <w:rsid w:val="00F1067D"/>
    <w:pPr>
      <w:spacing w:after="200"/>
    </w:pPr>
    <w:rPr>
      <w:i/>
      <w:iCs/>
      <w:color w:val="44546A" w:themeColor="text2"/>
      <w:sz w:val="18"/>
      <w:szCs w:val="18"/>
    </w:rPr>
  </w:style>
  <w:style w:type="table" w:styleId="Mkatabulky">
    <w:name w:val="Table Grid"/>
    <w:basedOn w:val="Normlntabulka"/>
    <w:uiPriority w:val="39"/>
    <w:rsid w:val="00F1067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dku">
    <w:name w:val="line number"/>
    <w:basedOn w:val="Standardnpsmoodstavce"/>
    <w:uiPriority w:val="99"/>
    <w:semiHidden/>
    <w:unhideWhenUsed/>
    <w:rsid w:val="00F1067D"/>
  </w:style>
  <w:style w:type="paragraph" w:customStyle="1" w:styleId="EndNoteBibliography">
    <w:name w:val="EndNote Bibliography"/>
    <w:basedOn w:val="Normln"/>
    <w:link w:val="EndNoteBibliography0"/>
    <w:rsid w:val="001F1CB8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Standardnpsmoodstavce"/>
    <w:link w:val="EndNoteBibliography"/>
    <w:rsid w:val="001F1CB8"/>
    <w:rPr>
      <w:rFonts w:ascii="DengXian" w:eastAsia="DengXian" w:hAnsi="DengXian"/>
      <w:noProof/>
      <w:kern w:val="2"/>
      <w:sz w:val="20"/>
      <w:lang w:val="en-US" w:eastAsia="zh-CN"/>
    </w:rPr>
  </w:style>
  <w:style w:type="character" w:styleId="Hypertextovodkaz">
    <w:name w:val="Hyperlink"/>
    <w:basedOn w:val="Standardnpsmoodstavce"/>
    <w:uiPriority w:val="99"/>
    <w:unhideWhenUsed/>
    <w:rsid w:val="001F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3</cp:revision>
  <dcterms:created xsi:type="dcterms:W3CDTF">2021-12-16T13:36:00Z</dcterms:created>
  <dcterms:modified xsi:type="dcterms:W3CDTF">2021-12-16T22:14:00Z</dcterms:modified>
</cp:coreProperties>
</file>