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D992" w14:textId="2443F9D6" w:rsidR="00E21275" w:rsidRPr="00E21275" w:rsidRDefault="000F6B1E" w:rsidP="00E21275">
      <w:pPr>
        <w:ind w:firstLineChars="0" w:firstLine="0"/>
        <w:rPr>
          <w:rFonts w:eastAsia="DengXian"/>
          <w:sz w:val="20"/>
          <w:szCs w:val="20"/>
        </w:rPr>
      </w:pPr>
      <w:r w:rsidRPr="00E21275">
        <w:rPr>
          <w:sz w:val="20"/>
          <w:szCs w:val="20"/>
        </w:rPr>
        <w:t>Table</w:t>
      </w:r>
      <w:r w:rsidR="00D47217" w:rsidRPr="00E21275">
        <w:rPr>
          <w:sz w:val="20"/>
          <w:szCs w:val="20"/>
        </w:rPr>
        <w:t xml:space="preserve"> </w:t>
      </w:r>
      <w:r w:rsidRPr="00E21275">
        <w:rPr>
          <w:sz w:val="20"/>
          <w:szCs w:val="20"/>
        </w:rPr>
        <w:t>1S</w:t>
      </w:r>
      <w:r w:rsidR="00E21275" w:rsidRPr="00E21275">
        <w:rPr>
          <w:sz w:val="20"/>
          <w:szCs w:val="20"/>
        </w:rPr>
        <w:t>.</w:t>
      </w:r>
      <w:r w:rsidRPr="00E21275">
        <w:rPr>
          <w:sz w:val="20"/>
          <w:szCs w:val="20"/>
        </w:rPr>
        <w:t xml:space="preserve"> </w:t>
      </w:r>
      <w:r w:rsidR="007E6FD0" w:rsidRPr="00E21275">
        <w:rPr>
          <w:sz w:val="20"/>
          <w:szCs w:val="20"/>
        </w:rPr>
        <w:t>C</w:t>
      </w:r>
      <w:r w:rsidRPr="00E21275">
        <w:rPr>
          <w:sz w:val="20"/>
          <w:szCs w:val="20"/>
        </w:rPr>
        <w:t>ontent of chlorophyll (</w:t>
      </w:r>
      <w:proofErr w:type="spellStart"/>
      <w:r w:rsidRPr="00E21275">
        <w:rPr>
          <w:i/>
          <w:iCs/>
          <w:sz w:val="20"/>
          <w:szCs w:val="20"/>
        </w:rPr>
        <w:t>a</w:t>
      </w:r>
      <w:r w:rsidRPr="00E21275">
        <w:rPr>
          <w:sz w:val="20"/>
          <w:szCs w:val="20"/>
        </w:rPr>
        <w:t>+</w:t>
      </w:r>
      <w:r w:rsidRPr="00E21275">
        <w:rPr>
          <w:i/>
          <w:iCs/>
          <w:sz w:val="20"/>
          <w:szCs w:val="20"/>
        </w:rPr>
        <w:t>b</w:t>
      </w:r>
      <w:proofErr w:type="spellEnd"/>
      <w:r w:rsidRPr="00E21275">
        <w:rPr>
          <w:sz w:val="20"/>
          <w:szCs w:val="20"/>
        </w:rPr>
        <w:t>) [mg g</w:t>
      </w:r>
      <w:r w:rsidR="00E21275" w:rsidRPr="00E21275">
        <w:rPr>
          <w:sz w:val="20"/>
          <w:szCs w:val="20"/>
          <w:vertAlign w:val="superscript"/>
        </w:rPr>
        <w:t>–</w:t>
      </w:r>
      <w:r w:rsidRPr="00E21275">
        <w:rPr>
          <w:sz w:val="20"/>
          <w:szCs w:val="20"/>
          <w:vertAlign w:val="superscript"/>
        </w:rPr>
        <w:t>1</w:t>
      </w:r>
      <w:r w:rsidRPr="00E21275">
        <w:rPr>
          <w:sz w:val="20"/>
          <w:szCs w:val="20"/>
        </w:rPr>
        <w:t>(</w:t>
      </w:r>
      <w:r w:rsidR="00D47217" w:rsidRPr="00E21275">
        <w:rPr>
          <w:sz w:val="20"/>
          <w:szCs w:val="20"/>
        </w:rPr>
        <w:t>F</w:t>
      </w:r>
      <w:r w:rsidRPr="00E21275">
        <w:rPr>
          <w:sz w:val="20"/>
          <w:szCs w:val="20"/>
        </w:rPr>
        <w:t xml:space="preserve">M)] of </w:t>
      </w:r>
      <w:r w:rsidR="00E21275" w:rsidRPr="00E21275">
        <w:rPr>
          <w:i/>
          <w:iCs/>
          <w:sz w:val="20"/>
          <w:szCs w:val="20"/>
        </w:rPr>
        <w:t>Bletilla</w:t>
      </w:r>
      <w:r w:rsidRPr="00E21275">
        <w:rPr>
          <w:i/>
          <w:iCs/>
          <w:sz w:val="20"/>
          <w:szCs w:val="20"/>
        </w:rPr>
        <w:t xml:space="preserve"> </w:t>
      </w:r>
      <w:proofErr w:type="spellStart"/>
      <w:r w:rsidRPr="00E21275">
        <w:rPr>
          <w:i/>
          <w:iCs/>
          <w:sz w:val="20"/>
          <w:szCs w:val="20"/>
        </w:rPr>
        <w:t>ochracea</w:t>
      </w:r>
      <w:proofErr w:type="spellEnd"/>
      <w:r w:rsidRPr="00E21275">
        <w:rPr>
          <w:i/>
          <w:iCs/>
          <w:sz w:val="20"/>
          <w:szCs w:val="20"/>
        </w:rPr>
        <w:t xml:space="preserve"> </w:t>
      </w:r>
      <w:r w:rsidRPr="00E21275">
        <w:rPr>
          <w:sz w:val="20"/>
          <w:szCs w:val="20"/>
        </w:rPr>
        <w:t>under different shade treatments</w:t>
      </w:r>
      <w:r w:rsidR="00E21275" w:rsidRPr="00E21275">
        <w:rPr>
          <w:sz w:val="20"/>
          <w:szCs w:val="20"/>
        </w:rPr>
        <w:t>.</w:t>
      </w:r>
      <w:r w:rsidR="00E21275" w:rsidRPr="00E21275">
        <w:rPr>
          <w:rFonts w:eastAsia="DengXian"/>
          <w:sz w:val="20"/>
          <w:szCs w:val="20"/>
        </w:rPr>
        <w:t xml:space="preserve"> Data </w:t>
      </w:r>
      <w:r w:rsidR="00E21275" w:rsidRPr="00E21275">
        <w:rPr>
          <w:rFonts w:eastAsia="DengXian"/>
          <w:sz w:val="20"/>
          <w:szCs w:val="20"/>
        </w:rPr>
        <w:t>are</w:t>
      </w:r>
      <w:r w:rsidR="00E21275" w:rsidRPr="00E21275">
        <w:rPr>
          <w:rFonts w:eastAsia="DengXian"/>
          <w:sz w:val="20"/>
          <w:szCs w:val="20"/>
        </w:rPr>
        <w:t xml:space="preserve"> mean</w:t>
      </w:r>
      <w:r w:rsidR="00E21275" w:rsidRPr="00E21275">
        <w:rPr>
          <w:rFonts w:eastAsia="DengXian"/>
          <w:sz w:val="20"/>
          <w:szCs w:val="20"/>
        </w:rPr>
        <w:t>s</w:t>
      </w:r>
      <w:r w:rsidR="00E21275" w:rsidRPr="00E21275">
        <w:rPr>
          <w:rFonts w:eastAsia="DengXian"/>
          <w:sz w:val="20"/>
          <w:szCs w:val="20"/>
        </w:rPr>
        <w:t xml:space="preserve"> ± SD. </w:t>
      </w:r>
      <w:r w:rsidR="00E21275" w:rsidRPr="00E21275">
        <w:rPr>
          <w:rFonts w:eastAsia="DengXian"/>
          <w:i/>
          <w:iCs/>
          <w:sz w:val="20"/>
          <w:szCs w:val="20"/>
        </w:rPr>
        <w:t>Different lowercase letters</w:t>
      </w:r>
      <w:r w:rsidR="00E21275" w:rsidRPr="00E21275">
        <w:rPr>
          <w:rFonts w:eastAsia="DengXian"/>
          <w:sz w:val="20"/>
          <w:szCs w:val="20"/>
        </w:rPr>
        <w:t xml:space="preserve"> represent significant differences between treatments by </w:t>
      </w:r>
      <w:r w:rsidR="00E21275" w:rsidRPr="00E21275">
        <w:rPr>
          <w:rFonts w:eastAsia="DengXian"/>
          <w:i/>
          <w:iCs/>
          <w:sz w:val="20"/>
          <w:szCs w:val="20"/>
        </w:rPr>
        <w:t>Duncan</w:t>
      </w:r>
      <w:r w:rsidR="00E21275" w:rsidRPr="00E21275">
        <w:rPr>
          <w:rFonts w:eastAsia="DengXian"/>
          <w:sz w:val="20"/>
          <w:szCs w:val="20"/>
        </w:rPr>
        <w:t>'s test (</w:t>
      </w:r>
      <w:r w:rsidR="00E21275" w:rsidRPr="00E21275">
        <w:rPr>
          <w:rFonts w:eastAsia="DengXian"/>
          <w:i/>
          <w:iCs/>
          <w:sz w:val="20"/>
          <w:szCs w:val="20"/>
        </w:rPr>
        <w:t>P</w:t>
      </w:r>
      <w:r w:rsidR="00E21275" w:rsidRPr="00E21275">
        <w:rPr>
          <w:rFonts w:eastAsia="DengXian"/>
          <w:sz w:val="20"/>
          <w:szCs w:val="20"/>
        </w:rPr>
        <w:t>&lt;0.05). A, B, C</w:t>
      </w:r>
      <w:r w:rsidR="00E21275" w:rsidRPr="00E21275">
        <w:rPr>
          <w:rFonts w:eastAsia="DengXian"/>
          <w:sz w:val="20"/>
          <w:szCs w:val="20"/>
        </w:rPr>
        <w:t>,</w:t>
      </w:r>
      <w:r w:rsidR="00E21275" w:rsidRPr="00E21275">
        <w:rPr>
          <w:rFonts w:eastAsia="DengXian"/>
          <w:sz w:val="20"/>
          <w:szCs w:val="20"/>
        </w:rPr>
        <w:t xml:space="preserve"> and CK indicates that corresponding shade rate is 94.23%, 76.41%, 54.93%</w:t>
      </w:r>
      <w:r w:rsidR="00E21275" w:rsidRPr="00E21275">
        <w:rPr>
          <w:rFonts w:eastAsia="DengXian"/>
          <w:sz w:val="20"/>
          <w:szCs w:val="20"/>
        </w:rPr>
        <w:t>,</w:t>
      </w:r>
      <w:r w:rsidR="00E21275" w:rsidRPr="00E21275">
        <w:rPr>
          <w:rFonts w:eastAsia="DengXian"/>
          <w:sz w:val="20"/>
          <w:szCs w:val="20"/>
        </w:rPr>
        <w:t xml:space="preserve"> and 0% (full sunlight). </w:t>
      </w:r>
    </w:p>
    <w:p w14:paraId="7E16DABF" w14:textId="0957A323" w:rsidR="00DB1CE4" w:rsidRPr="00E21275" w:rsidRDefault="00DB1CE4" w:rsidP="00E21275">
      <w:pPr>
        <w:ind w:firstLineChars="0" w:firstLine="0"/>
        <w:rPr>
          <w:sz w:val="20"/>
          <w:szCs w:val="20"/>
        </w:rPr>
      </w:pPr>
    </w:p>
    <w:tbl>
      <w:tblPr>
        <w:tblW w:w="8559" w:type="dxa"/>
        <w:tblBorders>
          <w:top w:val="single" w:sz="12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247"/>
        <w:gridCol w:w="1247"/>
        <w:gridCol w:w="1247"/>
        <w:gridCol w:w="1247"/>
        <w:gridCol w:w="1247"/>
        <w:gridCol w:w="1247"/>
      </w:tblGrid>
      <w:tr w:rsidR="00E21275" w:rsidRPr="00E21275" w14:paraId="6032C19D" w14:textId="77777777" w:rsidTr="00E21275">
        <w:trPr>
          <w:trHeight w:val="20"/>
        </w:trPr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</w:tcPr>
          <w:p w14:paraId="4DD2D6FC" w14:textId="77777777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Treatment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2C8E564B" w14:textId="2AADD1F1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28 April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B913F6E" w14:textId="00705A64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15 May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E3B440A" w14:textId="7FDA3925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30 May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2AE0ED3" w14:textId="36B08E89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14 June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A7B6A4C" w14:textId="2373CC20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2 July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BA9E7EA" w14:textId="13FD6164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17 July </w:t>
            </w:r>
          </w:p>
        </w:tc>
      </w:tr>
      <w:tr w:rsidR="00DB1CE4" w:rsidRPr="00E21275" w14:paraId="3FE8FC7C" w14:textId="77777777" w:rsidTr="00E21275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63A9A6D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142FAC6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1.72 ± 0.16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19B5A1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0.90 ± 0.13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FDC0E3B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1.97 ± 0.14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81ABA29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2.08 ± 0.14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46490BD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2.08 ± 0.07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1114DF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2.39 ± 0.06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4DF4C8F2" w14:textId="77777777" w:rsidTr="00E21275">
        <w:trPr>
          <w:trHeight w:val="2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82AEF58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B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22CFC0D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2.35 ± 0.03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22CE6CF2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1.00 ± 0.02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4363ACE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2.27 ± 0.21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F7AE833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1.89 ± 0.02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92AAD9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2.05 ± 0.12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55160A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2.10 ± 0.13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57581ED2" w14:textId="77777777" w:rsidTr="00E21275">
        <w:trPr>
          <w:trHeight w:val="2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2CDB844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922E61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2.61 ± 0.17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AE0DA16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0.98 ± 0.10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F1B7BE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2.22 ± 0.13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C6BF9D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2.04 ± 0.11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55CB985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1.86 ± 0.20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1460C7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2.11 ± 0.12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7C124298" w14:textId="77777777" w:rsidTr="00E21275">
        <w:trPr>
          <w:trHeight w:val="20"/>
        </w:trPr>
        <w:tc>
          <w:tcPr>
            <w:tcW w:w="107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AA33AF9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CK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31A56C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2.47 ± 0.19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47EB3A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0.87 ± 0.17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BBE03F3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1.99 ± 0.12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3AA60D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1.69 ± 0.08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A50D5BE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1.96 ± 1.96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A24AD1E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2.00 ± 0.06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</w:tbl>
    <w:p w14:paraId="0B72FB53" w14:textId="77777777" w:rsidR="00E21275" w:rsidRPr="00E21275" w:rsidRDefault="00E21275" w:rsidP="00E21275">
      <w:pPr>
        <w:ind w:firstLineChars="0" w:firstLine="0"/>
        <w:rPr>
          <w:sz w:val="20"/>
          <w:szCs w:val="20"/>
        </w:rPr>
      </w:pPr>
    </w:p>
    <w:p w14:paraId="67BC34BE" w14:textId="41D657CC" w:rsidR="00DB1CE4" w:rsidRPr="00E21275" w:rsidRDefault="000F6B1E" w:rsidP="00E21275">
      <w:pPr>
        <w:ind w:firstLineChars="0" w:firstLine="0"/>
        <w:rPr>
          <w:rFonts w:eastAsia="DengXian"/>
          <w:sz w:val="20"/>
          <w:szCs w:val="20"/>
        </w:rPr>
      </w:pPr>
      <w:r w:rsidRPr="00E21275">
        <w:rPr>
          <w:sz w:val="20"/>
          <w:szCs w:val="20"/>
        </w:rPr>
        <w:t>Table 2S</w:t>
      </w:r>
      <w:r w:rsidR="00E21275" w:rsidRPr="00E21275">
        <w:rPr>
          <w:sz w:val="20"/>
          <w:szCs w:val="20"/>
        </w:rPr>
        <w:t>.</w:t>
      </w:r>
      <w:r w:rsidRPr="00E21275">
        <w:rPr>
          <w:sz w:val="20"/>
          <w:szCs w:val="20"/>
        </w:rPr>
        <w:t xml:space="preserve"> Chlorophyll </w:t>
      </w:r>
      <w:r w:rsidRPr="00E21275">
        <w:rPr>
          <w:i/>
          <w:iCs/>
          <w:sz w:val="20"/>
          <w:szCs w:val="20"/>
        </w:rPr>
        <w:t>a</w:t>
      </w:r>
      <w:r w:rsidRPr="00E21275">
        <w:rPr>
          <w:sz w:val="20"/>
          <w:szCs w:val="20"/>
        </w:rPr>
        <w:t>/</w:t>
      </w:r>
      <w:r w:rsidRPr="00E21275">
        <w:rPr>
          <w:i/>
          <w:iCs/>
          <w:sz w:val="20"/>
          <w:szCs w:val="20"/>
        </w:rPr>
        <w:t>b</w:t>
      </w:r>
      <w:r w:rsidRPr="00E21275">
        <w:rPr>
          <w:sz w:val="20"/>
          <w:szCs w:val="20"/>
        </w:rPr>
        <w:t xml:space="preserve"> of </w:t>
      </w:r>
      <w:r w:rsidR="00E21275" w:rsidRPr="00E21275">
        <w:rPr>
          <w:i/>
          <w:iCs/>
          <w:sz w:val="20"/>
          <w:szCs w:val="20"/>
        </w:rPr>
        <w:t>Bletilla</w:t>
      </w:r>
      <w:r w:rsidR="00E21275" w:rsidRPr="00E21275">
        <w:rPr>
          <w:i/>
          <w:iCs/>
          <w:sz w:val="20"/>
          <w:szCs w:val="20"/>
        </w:rPr>
        <w:t xml:space="preserve"> </w:t>
      </w:r>
      <w:proofErr w:type="spellStart"/>
      <w:r w:rsidRPr="00E21275">
        <w:rPr>
          <w:i/>
          <w:iCs/>
          <w:sz w:val="20"/>
          <w:szCs w:val="20"/>
        </w:rPr>
        <w:t>ochracea</w:t>
      </w:r>
      <w:proofErr w:type="spellEnd"/>
      <w:r w:rsidRPr="00E21275">
        <w:rPr>
          <w:sz w:val="20"/>
          <w:szCs w:val="20"/>
        </w:rPr>
        <w:t xml:space="preserve"> under different shade treatment</w:t>
      </w:r>
      <w:r w:rsidR="00300A55" w:rsidRPr="00E21275">
        <w:rPr>
          <w:sz w:val="20"/>
          <w:szCs w:val="20"/>
        </w:rPr>
        <w:t>s</w:t>
      </w:r>
      <w:r w:rsidR="00E21275" w:rsidRPr="00E21275">
        <w:rPr>
          <w:sz w:val="20"/>
          <w:szCs w:val="20"/>
        </w:rPr>
        <w:t xml:space="preserve">. </w:t>
      </w:r>
      <w:r w:rsidR="00E21275" w:rsidRPr="00E21275">
        <w:rPr>
          <w:rFonts w:eastAsia="DengXian"/>
          <w:sz w:val="20"/>
          <w:szCs w:val="20"/>
        </w:rPr>
        <w:t xml:space="preserve">Data are means ± SD. </w:t>
      </w:r>
      <w:r w:rsidR="00E21275" w:rsidRPr="00E21275">
        <w:rPr>
          <w:rFonts w:eastAsia="DengXian"/>
          <w:i/>
          <w:iCs/>
          <w:sz w:val="20"/>
          <w:szCs w:val="20"/>
        </w:rPr>
        <w:t>Different lowercase letters</w:t>
      </w:r>
      <w:r w:rsidR="00E21275" w:rsidRPr="00E21275">
        <w:rPr>
          <w:rFonts w:eastAsia="DengXian"/>
          <w:sz w:val="20"/>
          <w:szCs w:val="20"/>
        </w:rPr>
        <w:t xml:space="preserve"> represent significant differences between treatments by </w:t>
      </w:r>
      <w:r w:rsidR="00E21275" w:rsidRPr="00E21275">
        <w:rPr>
          <w:rFonts w:eastAsia="DengXian"/>
          <w:i/>
          <w:iCs/>
          <w:sz w:val="20"/>
          <w:szCs w:val="20"/>
        </w:rPr>
        <w:t>Duncan</w:t>
      </w:r>
      <w:r w:rsidR="00E21275" w:rsidRPr="00E21275">
        <w:rPr>
          <w:rFonts w:eastAsia="DengXian"/>
          <w:sz w:val="20"/>
          <w:szCs w:val="20"/>
        </w:rPr>
        <w:t>'s test (</w:t>
      </w:r>
      <w:r w:rsidR="00E21275" w:rsidRPr="00E21275">
        <w:rPr>
          <w:rFonts w:eastAsia="DengXian"/>
          <w:i/>
          <w:iCs/>
          <w:sz w:val="20"/>
          <w:szCs w:val="20"/>
        </w:rPr>
        <w:t>P</w:t>
      </w:r>
      <w:r w:rsidR="00E21275" w:rsidRPr="00E21275">
        <w:rPr>
          <w:rFonts w:eastAsia="DengXian"/>
          <w:sz w:val="20"/>
          <w:szCs w:val="20"/>
        </w:rPr>
        <w:t>&lt;0.05). A, B, C, and CK indicates that corresponding shade rate is 94.23%, 76.41%, 54.93%, and 0% (full sunlight).</w:t>
      </w:r>
    </w:p>
    <w:p w14:paraId="4F0F6EB4" w14:textId="77777777" w:rsidR="00E21275" w:rsidRPr="00E21275" w:rsidRDefault="00E21275" w:rsidP="00E21275">
      <w:pPr>
        <w:ind w:firstLineChars="0" w:firstLine="0"/>
        <w:rPr>
          <w:sz w:val="20"/>
          <w:szCs w:val="20"/>
        </w:rPr>
      </w:pPr>
    </w:p>
    <w:tbl>
      <w:tblPr>
        <w:tblW w:w="9165" w:type="dxa"/>
        <w:tblBorders>
          <w:top w:val="none" w:sz="4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93"/>
        <w:gridCol w:w="1293"/>
        <w:gridCol w:w="1293"/>
        <w:gridCol w:w="1293"/>
        <w:gridCol w:w="1293"/>
        <w:gridCol w:w="1293"/>
      </w:tblGrid>
      <w:tr w:rsidR="00E21275" w:rsidRPr="00E21275" w14:paraId="35063889" w14:textId="77777777" w:rsidTr="00E21275">
        <w:trPr>
          <w:trHeight w:val="20"/>
        </w:trPr>
        <w:tc>
          <w:tcPr>
            <w:tcW w:w="1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</w:tcPr>
          <w:p w14:paraId="3A4039C9" w14:textId="008F8B6D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Treatment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CF5A8EA" w14:textId="60EFD9B4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28 April 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75DEB22" w14:textId="782C33B0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15 May 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9122DD3" w14:textId="5ACA1883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30 May 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974D385" w14:textId="2F11D7CB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14 June 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1E33CF4" w14:textId="700709F6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2 July 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5A639D9" w14:textId="4227A220" w:rsidR="00E21275" w:rsidRPr="00E21275" w:rsidRDefault="00E21275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bCs/>
                <w:sz w:val="20"/>
                <w:szCs w:val="20"/>
              </w:rPr>
              <w:t xml:space="preserve">17 July </w:t>
            </w:r>
          </w:p>
        </w:tc>
      </w:tr>
      <w:tr w:rsidR="00DB1CE4" w:rsidRPr="00E21275" w14:paraId="64CBE820" w14:textId="77777777" w:rsidTr="00E21275">
        <w:trPr>
          <w:trHeight w:val="20"/>
        </w:trPr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AB3BF8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CC77D2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0.94 ± 0.17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C1821B9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3.22 ± 0.17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4D27BAB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1.99 ± 0.12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9DF1136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0.98 ± 0.16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DA4000A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0.84 ± 0.06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7A234AF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0.64 ± 0.04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234BF23D" w14:textId="77777777" w:rsidTr="00E21275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D95098F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99CAF6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0.86 ± 0.14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B01F76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3.45 ± 0.16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57C32D5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2.22 ± 0.13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8B6F31D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1.18 ± 0.04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2D99824B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0.88 ± 0.14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5283A27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0.88 ± 0.15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28AA92F2" w14:textId="77777777" w:rsidTr="00E21275">
        <w:trPr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398E29B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B3A22FD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1.04 ± 0.04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05CECBF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3.50 ± 0.08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17F3350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2.27 ± 0.14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845242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0.85 ± 0.01</w:t>
            </w:r>
            <w:r w:rsidRPr="00E2127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F87EBBE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0.86 ± 0.03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C6BA520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0.88 ± 0.12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DB1CE4" w:rsidRPr="00E21275" w14:paraId="1DE1E688" w14:textId="77777777" w:rsidTr="00E21275">
        <w:trPr>
          <w:trHeight w:val="20"/>
        </w:trPr>
        <w:tc>
          <w:tcPr>
            <w:tcW w:w="1407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32D40AFB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CK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0BB61A73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2.38 ± 0.43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4216A64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3.35 ± 0.11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0FB7C8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1.97 ± 0.21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7AE45C91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1.68 ± 0.23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25C022AF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0.93 ± 0.07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56FF5EBA" w14:textId="77777777" w:rsidR="00DB1CE4" w:rsidRPr="00E21275" w:rsidRDefault="000F6B1E" w:rsidP="00E21275">
            <w:pPr>
              <w:ind w:firstLineChars="0" w:firstLine="0"/>
              <w:jc w:val="left"/>
              <w:rPr>
                <w:sz w:val="20"/>
                <w:szCs w:val="20"/>
              </w:rPr>
            </w:pPr>
            <w:r w:rsidRPr="00E21275">
              <w:rPr>
                <w:sz w:val="20"/>
                <w:szCs w:val="20"/>
              </w:rPr>
              <w:t>1.03 ± 0.21</w:t>
            </w:r>
            <w:r w:rsidRPr="00E21275">
              <w:rPr>
                <w:sz w:val="20"/>
                <w:szCs w:val="20"/>
                <w:vertAlign w:val="superscript"/>
              </w:rPr>
              <w:t>a</w:t>
            </w:r>
          </w:p>
        </w:tc>
      </w:tr>
    </w:tbl>
    <w:p w14:paraId="3695C6EE" w14:textId="77777777" w:rsidR="00DB1CE4" w:rsidRDefault="00DB1CE4">
      <w:pPr>
        <w:ind w:firstLineChars="0" w:firstLine="0"/>
        <w:rPr>
          <w:sz w:val="20"/>
          <w:szCs w:val="20"/>
        </w:rPr>
      </w:pPr>
    </w:p>
    <w:p w14:paraId="47D9B953" w14:textId="77777777" w:rsidR="00DB1CE4" w:rsidRDefault="00DB1CE4"/>
    <w:sectPr w:rsidR="00DB1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D14D" w14:textId="77777777" w:rsidR="00BF1E65" w:rsidRDefault="00BF1E65" w:rsidP="00300A55">
      <w:r>
        <w:separator/>
      </w:r>
    </w:p>
  </w:endnote>
  <w:endnote w:type="continuationSeparator" w:id="0">
    <w:p w14:paraId="27E8C5BC" w14:textId="77777777" w:rsidR="00BF1E65" w:rsidRDefault="00BF1E65" w:rsidP="0030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5BB" w14:textId="77777777" w:rsidR="00300A55" w:rsidRDefault="00300A55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5606" w14:textId="77777777" w:rsidR="00300A55" w:rsidRDefault="00300A55">
    <w:pPr>
      <w:pStyle w:val="Zpat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E91B" w14:textId="77777777" w:rsidR="00300A55" w:rsidRDefault="00300A55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B196" w14:textId="77777777" w:rsidR="00BF1E65" w:rsidRDefault="00BF1E65" w:rsidP="00300A55">
      <w:r>
        <w:separator/>
      </w:r>
    </w:p>
  </w:footnote>
  <w:footnote w:type="continuationSeparator" w:id="0">
    <w:p w14:paraId="35CE86E5" w14:textId="77777777" w:rsidR="00BF1E65" w:rsidRDefault="00BF1E65" w:rsidP="0030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4291" w14:textId="77777777" w:rsidR="00300A55" w:rsidRDefault="00300A55">
    <w:pPr>
      <w:pStyle w:val="Zhlav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D776" w14:textId="77777777" w:rsidR="00300A55" w:rsidRDefault="00300A55">
    <w:pPr>
      <w:pStyle w:val="Zhlav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4DAA" w14:textId="77777777" w:rsidR="00300A55" w:rsidRDefault="00300A55">
    <w:pPr>
      <w:pStyle w:val="Zhlav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DB1A2B"/>
    <w:rsid w:val="00062958"/>
    <w:rsid w:val="000E5AAC"/>
    <w:rsid w:val="000F6B1E"/>
    <w:rsid w:val="0020189F"/>
    <w:rsid w:val="00300A55"/>
    <w:rsid w:val="00304F57"/>
    <w:rsid w:val="00370EFC"/>
    <w:rsid w:val="005B4DA6"/>
    <w:rsid w:val="00606155"/>
    <w:rsid w:val="00665961"/>
    <w:rsid w:val="007E6FD0"/>
    <w:rsid w:val="00B00DAD"/>
    <w:rsid w:val="00BE38F3"/>
    <w:rsid w:val="00BF1E65"/>
    <w:rsid w:val="00D47217"/>
    <w:rsid w:val="00DB1CE4"/>
    <w:rsid w:val="00E21275"/>
    <w:rsid w:val="00E527F1"/>
    <w:rsid w:val="07A02F9F"/>
    <w:rsid w:val="08D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F2EBB"/>
  <w15:docId w15:val="{BD034240-32C3-4207-98DC-2078D64C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6FD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name w:val="川农——图表名"/>
    <w:basedOn w:val="Normln"/>
    <w:next w:val="Normln"/>
    <w:qFormat/>
    <w:pPr>
      <w:ind w:firstLineChars="0" w:firstLine="0"/>
      <w:jc w:val="center"/>
    </w:pPr>
  </w:style>
  <w:style w:type="paragraph" w:styleId="Zhlav">
    <w:name w:val="header"/>
    <w:basedOn w:val="Normln"/>
    <w:link w:val="ZhlavChar"/>
    <w:rsid w:val="00300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300A55"/>
    <w:rPr>
      <w:kern w:val="2"/>
      <w:sz w:val="18"/>
      <w:szCs w:val="18"/>
    </w:rPr>
  </w:style>
  <w:style w:type="paragraph" w:styleId="Zpat">
    <w:name w:val="footer"/>
    <w:basedOn w:val="Normln"/>
    <w:link w:val="ZpatChar"/>
    <w:rsid w:val="00300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rsid w:val="00300A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mingxy</dc:creator>
  <cp:lastModifiedBy>Martin Spousta</cp:lastModifiedBy>
  <cp:revision>3</cp:revision>
  <dcterms:created xsi:type="dcterms:W3CDTF">2022-01-05T14:19:00Z</dcterms:created>
  <dcterms:modified xsi:type="dcterms:W3CDTF">2022-01-05T14:25:00Z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