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89" w:rsidRDefault="006F3BE4" w:rsidP="006F3BE4">
      <w:pPr>
        <w:rPr>
          <w:rFonts w:cs="Times New Roman"/>
          <w:sz w:val="24"/>
          <w:szCs w:val="32"/>
        </w:rPr>
      </w:pPr>
      <w:r w:rsidRPr="00E4510E"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1AE578C" wp14:editId="5861783D">
            <wp:simplePos x="0" y="0"/>
            <wp:positionH relativeFrom="column">
              <wp:posOffset>1732</wp:posOffset>
            </wp:positionH>
            <wp:positionV relativeFrom="paragraph">
              <wp:posOffset>318</wp:posOffset>
            </wp:positionV>
            <wp:extent cx="5759450" cy="5916295"/>
            <wp:effectExtent l="0" t="0" r="0" b="825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1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8"/>
        </w:rPr>
        <w:t xml:space="preserve">Fig. </w:t>
      </w:r>
      <w:r w:rsidRPr="006C5CC1">
        <w:rPr>
          <w:sz w:val="24"/>
          <w:szCs w:val="28"/>
        </w:rPr>
        <w:t>1</w:t>
      </w:r>
      <w:r>
        <w:rPr>
          <w:sz w:val="24"/>
          <w:szCs w:val="28"/>
        </w:rPr>
        <w:t>S</w:t>
      </w:r>
      <w:r w:rsidRPr="006C5CC1">
        <w:rPr>
          <w:sz w:val="24"/>
          <w:szCs w:val="28"/>
        </w:rPr>
        <w:t xml:space="preserve">. Diurnal changes in </w:t>
      </w:r>
      <w:r w:rsidRPr="006C5CC1">
        <w:rPr>
          <w:sz w:val="24"/>
          <w:szCs w:val="32"/>
        </w:rPr>
        <w:t>photosynthetic rate (</w:t>
      </w:r>
      <w:r w:rsidRPr="006C5CC1">
        <w:rPr>
          <w:i/>
          <w:iCs/>
          <w:sz w:val="24"/>
          <w:szCs w:val="32"/>
        </w:rPr>
        <w:t>P</w:t>
      </w:r>
      <w:r w:rsidRPr="006C5CC1">
        <w:rPr>
          <w:sz w:val="24"/>
          <w:szCs w:val="32"/>
          <w:vertAlign w:val="subscript"/>
        </w:rPr>
        <w:t>N</w:t>
      </w:r>
      <w:r w:rsidRPr="006C5CC1">
        <w:rPr>
          <w:sz w:val="24"/>
          <w:szCs w:val="28"/>
        </w:rPr>
        <w:t xml:space="preserve">; </w:t>
      </w:r>
      <w:r w:rsidRPr="006C5CC1">
        <w:rPr>
          <w:i/>
          <w:iCs/>
          <w:sz w:val="24"/>
          <w:szCs w:val="28"/>
        </w:rPr>
        <w:t>A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B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C</w:t>
      </w:r>
      <w:r w:rsidRPr="006C5CC1">
        <w:rPr>
          <w:sz w:val="24"/>
          <w:szCs w:val="32"/>
        </w:rPr>
        <w:t>), stomatal conductance to H</w:t>
      </w:r>
      <w:r w:rsidRPr="006C5CC1">
        <w:rPr>
          <w:sz w:val="24"/>
          <w:szCs w:val="32"/>
          <w:vertAlign w:val="subscript"/>
        </w:rPr>
        <w:t>2</w:t>
      </w:r>
      <w:r w:rsidRPr="006C5CC1">
        <w:rPr>
          <w:sz w:val="24"/>
          <w:szCs w:val="32"/>
        </w:rPr>
        <w:t>O (</w:t>
      </w:r>
      <w:proofErr w:type="spellStart"/>
      <w:r w:rsidRPr="006C5CC1">
        <w:rPr>
          <w:i/>
          <w:iCs/>
          <w:sz w:val="24"/>
          <w:szCs w:val="32"/>
        </w:rPr>
        <w:t>g</w:t>
      </w:r>
      <w:r w:rsidRPr="006C5CC1">
        <w:rPr>
          <w:sz w:val="24"/>
          <w:szCs w:val="32"/>
          <w:vertAlign w:val="subscript"/>
        </w:rPr>
        <w:t>sw</w:t>
      </w:r>
      <w:proofErr w:type="spellEnd"/>
      <w:r w:rsidRPr="006C5CC1">
        <w:rPr>
          <w:sz w:val="24"/>
          <w:szCs w:val="28"/>
        </w:rPr>
        <w:t xml:space="preserve">; </w:t>
      </w:r>
      <w:r w:rsidRPr="006C5CC1">
        <w:rPr>
          <w:i/>
          <w:iCs/>
          <w:sz w:val="24"/>
          <w:szCs w:val="28"/>
        </w:rPr>
        <w:t>D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E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F</w:t>
      </w:r>
      <w:r w:rsidRPr="006C5CC1">
        <w:rPr>
          <w:sz w:val="24"/>
          <w:szCs w:val="32"/>
        </w:rPr>
        <w:t>), intercellular CO</w:t>
      </w:r>
      <w:r w:rsidRPr="006C5CC1">
        <w:rPr>
          <w:sz w:val="24"/>
          <w:szCs w:val="32"/>
          <w:vertAlign w:val="subscript"/>
        </w:rPr>
        <w:t>2</w:t>
      </w:r>
      <w:r w:rsidRPr="006C5CC1">
        <w:rPr>
          <w:sz w:val="24"/>
          <w:szCs w:val="32"/>
        </w:rPr>
        <w:t xml:space="preserve"> concentration (</w:t>
      </w:r>
      <w:r w:rsidRPr="006C5CC1">
        <w:rPr>
          <w:i/>
          <w:iCs/>
          <w:sz w:val="24"/>
          <w:szCs w:val="32"/>
        </w:rPr>
        <w:t>C</w:t>
      </w:r>
      <w:r w:rsidRPr="006C5CC1">
        <w:rPr>
          <w:sz w:val="24"/>
          <w:szCs w:val="32"/>
          <w:vertAlign w:val="subscript"/>
        </w:rPr>
        <w:t>i</w:t>
      </w:r>
      <w:r w:rsidRPr="006C5CC1">
        <w:rPr>
          <w:rFonts w:cs="Times New Roman"/>
          <w:sz w:val="24"/>
          <w:szCs w:val="32"/>
        </w:rPr>
        <w:t xml:space="preserve">; </w:t>
      </w:r>
      <w:r w:rsidRPr="006C5CC1">
        <w:rPr>
          <w:rFonts w:cs="Times New Roman"/>
          <w:i/>
          <w:iCs/>
          <w:sz w:val="24"/>
          <w:szCs w:val="32"/>
        </w:rPr>
        <w:t>G</w:t>
      </w:r>
      <w:r w:rsidRPr="006C5CC1">
        <w:rPr>
          <w:rFonts w:cs="Times New Roman"/>
          <w:sz w:val="24"/>
          <w:szCs w:val="32"/>
        </w:rPr>
        <w:t xml:space="preserve">, </w:t>
      </w:r>
      <w:r w:rsidRPr="006C5CC1">
        <w:rPr>
          <w:rFonts w:cs="Times New Roman"/>
          <w:i/>
          <w:iCs/>
          <w:sz w:val="24"/>
          <w:szCs w:val="32"/>
        </w:rPr>
        <w:t>H</w:t>
      </w:r>
      <w:r w:rsidRPr="006C5CC1">
        <w:rPr>
          <w:rFonts w:cs="Times New Roman"/>
          <w:sz w:val="24"/>
          <w:szCs w:val="32"/>
        </w:rPr>
        <w:t xml:space="preserve">, </w:t>
      </w:r>
      <w:r w:rsidRPr="006C5CC1">
        <w:rPr>
          <w:rFonts w:cs="Times New Roman"/>
          <w:i/>
          <w:iCs/>
          <w:sz w:val="24"/>
          <w:szCs w:val="32"/>
        </w:rPr>
        <w:t>I</w:t>
      </w:r>
      <w:r w:rsidRPr="006C5CC1">
        <w:rPr>
          <w:sz w:val="24"/>
          <w:szCs w:val="32"/>
        </w:rPr>
        <w:t>), and transpiration rate (</w:t>
      </w:r>
      <w:r w:rsidRPr="006C5CC1">
        <w:rPr>
          <w:i/>
          <w:iCs/>
          <w:sz w:val="24"/>
          <w:szCs w:val="32"/>
        </w:rPr>
        <w:t>E</w:t>
      </w:r>
      <w:r w:rsidRPr="006C5CC1">
        <w:rPr>
          <w:rFonts w:cs="Times New Roman"/>
          <w:sz w:val="24"/>
          <w:szCs w:val="32"/>
        </w:rPr>
        <w:t xml:space="preserve">; </w:t>
      </w:r>
      <w:r w:rsidRPr="006C5CC1">
        <w:rPr>
          <w:rFonts w:cs="Times New Roman"/>
          <w:i/>
          <w:iCs/>
          <w:sz w:val="24"/>
          <w:szCs w:val="32"/>
        </w:rPr>
        <w:t>J</w:t>
      </w:r>
      <w:r w:rsidRPr="006C5CC1">
        <w:rPr>
          <w:rFonts w:cs="Times New Roman"/>
          <w:sz w:val="24"/>
          <w:szCs w:val="32"/>
        </w:rPr>
        <w:t xml:space="preserve">, </w:t>
      </w:r>
      <w:r w:rsidRPr="006C5CC1">
        <w:rPr>
          <w:rFonts w:cs="Times New Roman"/>
          <w:i/>
          <w:iCs/>
          <w:sz w:val="24"/>
          <w:szCs w:val="32"/>
        </w:rPr>
        <w:t>K</w:t>
      </w:r>
      <w:r w:rsidRPr="006C5CC1">
        <w:rPr>
          <w:rFonts w:cs="Times New Roman"/>
          <w:sz w:val="24"/>
          <w:szCs w:val="32"/>
        </w:rPr>
        <w:t xml:space="preserve">, </w:t>
      </w:r>
      <w:r w:rsidRPr="006C5CC1">
        <w:rPr>
          <w:rFonts w:cs="Times New Roman"/>
          <w:i/>
          <w:iCs/>
          <w:sz w:val="24"/>
          <w:szCs w:val="32"/>
        </w:rPr>
        <w:t>L</w:t>
      </w:r>
      <w:r w:rsidRPr="006C5CC1">
        <w:rPr>
          <w:sz w:val="24"/>
          <w:szCs w:val="28"/>
        </w:rPr>
        <w:t xml:space="preserve">). </w:t>
      </w:r>
      <w:r w:rsidRPr="006C5CC1">
        <w:rPr>
          <w:rFonts w:cs="Times New Roman"/>
          <w:sz w:val="24"/>
          <w:szCs w:val="32"/>
        </w:rPr>
        <w:t>The respective row</w:t>
      </w:r>
      <w:r w:rsidRPr="006C5CC1">
        <w:rPr>
          <w:rFonts w:cs="Times New Roman" w:hint="eastAsia"/>
          <w:sz w:val="24"/>
          <w:szCs w:val="32"/>
        </w:rPr>
        <w:t>s</w:t>
      </w:r>
      <w:r w:rsidRPr="006C5CC1">
        <w:rPr>
          <w:rFonts w:cs="Times New Roman"/>
          <w:sz w:val="24"/>
          <w:szCs w:val="32"/>
        </w:rPr>
        <w:t xml:space="preserve"> indicate </w:t>
      </w:r>
      <w:r w:rsidRPr="006C5CC1">
        <w:rPr>
          <w:sz w:val="24"/>
          <w:szCs w:val="28"/>
        </w:rPr>
        <w:t xml:space="preserve">the day </w:t>
      </w:r>
      <w:r>
        <w:rPr>
          <w:sz w:val="24"/>
          <w:szCs w:val="28"/>
        </w:rPr>
        <w:t>when the gas</w:t>
      </w:r>
      <w:r>
        <w:rPr>
          <w:sz w:val="24"/>
          <w:szCs w:val="28"/>
        </w:rPr>
        <w:t>-</w:t>
      </w:r>
      <w:r w:rsidRPr="006C5CC1">
        <w:rPr>
          <w:sz w:val="24"/>
          <w:szCs w:val="28"/>
        </w:rPr>
        <w:t>exchange measurements were conducted (</w:t>
      </w:r>
      <w:r w:rsidRPr="006C5CC1">
        <w:rPr>
          <w:i/>
          <w:iCs/>
          <w:sz w:val="24"/>
          <w:szCs w:val="28"/>
        </w:rPr>
        <w:t>i.e.</w:t>
      </w:r>
      <w:r w:rsidRPr="006F3BE4">
        <w:rPr>
          <w:iCs/>
          <w:sz w:val="24"/>
          <w:szCs w:val="28"/>
        </w:rPr>
        <w:t>,</w:t>
      </w:r>
      <w:r w:rsidRPr="006C5CC1">
        <w:rPr>
          <w:sz w:val="24"/>
          <w:szCs w:val="28"/>
        </w:rPr>
        <w:t xml:space="preserve"> </w:t>
      </w:r>
      <w:r w:rsidRPr="006C5CC1">
        <w:rPr>
          <w:i/>
          <w:iCs/>
          <w:sz w:val="24"/>
          <w:szCs w:val="28"/>
        </w:rPr>
        <w:t>A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D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G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J</w:t>
      </w:r>
      <w:r w:rsidRPr="006C5CC1">
        <w:rPr>
          <w:sz w:val="24"/>
          <w:szCs w:val="28"/>
        </w:rPr>
        <w:t xml:space="preserve">: 22 May; </w:t>
      </w:r>
      <w:r w:rsidRPr="006C5CC1">
        <w:rPr>
          <w:i/>
          <w:iCs/>
          <w:sz w:val="24"/>
          <w:szCs w:val="28"/>
        </w:rPr>
        <w:t>B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E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H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K</w:t>
      </w:r>
      <w:r w:rsidRPr="006C5CC1">
        <w:rPr>
          <w:sz w:val="24"/>
          <w:szCs w:val="28"/>
        </w:rPr>
        <w:t xml:space="preserve">: 23 May; </w:t>
      </w:r>
      <w:r w:rsidRPr="006C5CC1">
        <w:rPr>
          <w:i/>
          <w:iCs/>
          <w:sz w:val="24"/>
          <w:szCs w:val="28"/>
        </w:rPr>
        <w:t>C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F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I</w:t>
      </w:r>
      <w:r w:rsidRPr="006C5CC1">
        <w:rPr>
          <w:sz w:val="24"/>
          <w:szCs w:val="28"/>
        </w:rPr>
        <w:t xml:space="preserve">, </w:t>
      </w:r>
      <w:r w:rsidRPr="006C5CC1">
        <w:rPr>
          <w:i/>
          <w:iCs/>
          <w:sz w:val="24"/>
          <w:szCs w:val="28"/>
        </w:rPr>
        <w:t>L</w:t>
      </w:r>
      <w:r w:rsidRPr="006C5CC1">
        <w:rPr>
          <w:sz w:val="24"/>
          <w:szCs w:val="28"/>
        </w:rPr>
        <w:t>: 30 May)</w:t>
      </w:r>
      <w:r w:rsidRPr="006C5CC1">
        <w:rPr>
          <w:rFonts w:cs="Times New Roman"/>
          <w:sz w:val="24"/>
          <w:szCs w:val="32"/>
        </w:rPr>
        <w:t xml:space="preserve">. </w:t>
      </w:r>
      <w:r w:rsidRPr="006C5CC1">
        <w:rPr>
          <w:sz w:val="24"/>
          <w:szCs w:val="28"/>
        </w:rPr>
        <w:t xml:space="preserve">The measurements were </w:t>
      </w:r>
      <w:r>
        <w:rPr>
          <w:sz w:val="24"/>
          <w:szCs w:val="28"/>
        </w:rPr>
        <w:t>conducted</w:t>
      </w:r>
      <w:r w:rsidRPr="006C5CC1">
        <w:rPr>
          <w:sz w:val="24"/>
          <w:szCs w:val="28"/>
        </w:rPr>
        <w:t xml:space="preserve"> from 6:30 to 18:00 </w:t>
      </w:r>
      <w:r>
        <w:rPr>
          <w:sz w:val="24"/>
          <w:szCs w:val="28"/>
        </w:rPr>
        <w:t>h</w:t>
      </w:r>
      <w:r w:rsidRPr="006C5CC1">
        <w:rPr>
          <w:sz w:val="24"/>
          <w:szCs w:val="28"/>
        </w:rPr>
        <w:t xml:space="preserve"> (Japan standard time) </w:t>
      </w:r>
      <w:r>
        <w:rPr>
          <w:sz w:val="24"/>
          <w:szCs w:val="28"/>
        </w:rPr>
        <w:t>at intervals</w:t>
      </w:r>
      <w:r w:rsidRPr="006C5CC1">
        <w:rPr>
          <w:sz w:val="24"/>
          <w:szCs w:val="28"/>
        </w:rPr>
        <w:t xml:space="preserve"> of about 5 min and plotted in figures as an hourly average (</w:t>
      </w:r>
      <w:r w:rsidRPr="006C5CC1">
        <w:rPr>
          <w:i/>
          <w:iCs/>
          <w:sz w:val="24"/>
          <w:szCs w:val="28"/>
        </w:rPr>
        <w:t>e.g.</w:t>
      </w:r>
      <w:r w:rsidRPr="006F3BE4">
        <w:rPr>
          <w:iCs/>
          <w:sz w:val="24"/>
          <w:szCs w:val="28"/>
        </w:rPr>
        <w:t>,</w:t>
      </w:r>
      <w:r w:rsidRPr="006C5CC1">
        <w:rPr>
          <w:sz w:val="24"/>
          <w:szCs w:val="28"/>
        </w:rPr>
        <w:t xml:space="preserve"> data point at 7 </w:t>
      </w:r>
      <w:r>
        <w:rPr>
          <w:sz w:val="24"/>
          <w:szCs w:val="28"/>
        </w:rPr>
        <w:t>h</w:t>
      </w:r>
      <w:r w:rsidRPr="006C5CC1">
        <w:rPr>
          <w:sz w:val="24"/>
          <w:szCs w:val="28"/>
        </w:rPr>
        <w:t xml:space="preserve"> represents </w:t>
      </w:r>
      <w:r>
        <w:rPr>
          <w:sz w:val="24"/>
          <w:szCs w:val="28"/>
        </w:rPr>
        <w:t>the</w:t>
      </w:r>
      <w:r w:rsidRPr="006C5CC1">
        <w:rPr>
          <w:sz w:val="24"/>
          <w:szCs w:val="28"/>
        </w:rPr>
        <w:t xml:space="preserve"> data </w:t>
      </w:r>
      <w:r>
        <w:rPr>
          <w:sz w:val="24"/>
          <w:szCs w:val="28"/>
        </w:rPr>
        <w:t xml:space="preserve">average </w:t>
      </w:r>
      <w:r>
        <w:rPr>
          <w:sz w:val="24"/>
          <w:szCs w:val="28"/>
        </w:rPr>
        <w:t>between 6:30</w:t>
      </w:r>
      <w:r w:rsidRPr="006C5CC1">
        <w:rPr>
          <w:sz w:val="24"/>
          <w:szCs w:val="28"/>
        </w:rPr>
        <w:t xml:space="preserve"> and 7:30 </w:t>
      </w:r>
      <w:r>
        <w:rPr>
          <w:sz w:val="24"/>
          <w:szCs w:val="28"/>
        </w:rPr>
        <w:t>h</w:t>
      </w:r>
      <w:r w:rsidRPr="006C5CC1">
        <w:rPr>
          <w:sz w:val="24"/>
          <w:szCs w:val="28"/>
        </w:rPr>
        <w:t>).</w:t>
      </w:r>
      <w:r w:rsidRPr="006C5CC1">
        <w:rPr>
          <w:rFonts w:hint="eastAsia"/>
          <w:sz w:val="24"/>
          <w:szCs w:val="28"/>
        </w:rPr>
        <w:t xml:space="preserve"> </w:t>
      </w:r>
      <w:r w:rsidRPr="006C5CC1">
        <w:rPr>
          <w:rFonts w:cs="Times New Roman"/>
          <w:sz w:val="24"/>
          <w:szCs w:val="32"/>
        </w:rPr>
        <w:t>Means ± SE (</w:t>
      </w:r>
      <w:r w:rsidRPr="006C5CC1">
        <w:rPr>
          <w:rFonts w:cs="Times New Roman"/>
          <w:i/>
          <w:iCs/>
          <w:sz w:val="24"/>
          <w:szCs w:val="32"/>
        </w:rPr>
        <w:t>n</w:t>
      </w:r>
      <w:r w:rsidRPr="006C5CC1">
        <w:rPr>
          <w:rFonts w:cs="Times New Roman"/>
          <w:sz w:val="24"/>
          <w:szCs w:val="32"/>
        </w:rPr>
        <w:t xml:space="preserve"> = about 15) are shown.</w:t>
      </w:r>
    </w:p>
    <w:p w:rsidR="006F3BE4" w:rsidRDefault="006F3BE4" w:rsidP="006F3BE4">
      <w:pPr>
        <w:rPr>
          <w:rFonts w:cs="Times New Roman"/>
          <w:sz w:val="24"/>
          <w:szCs w:val="32"/>
        </w:rPr>
      </w:pPr>
    </w:p>
    <w:p w:rsidR="006F3BE4" w:rsidRDefault="006F3BE4" w:rsidP="006F3BE4">
      <w:r w:rsidRPr="0037317B">
        <w:rPr>
          <w:noProof/>
          <w:lang w:val="cs-CZ"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41E5DA79" wp14:editId="29FB19CB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5759450" cy="2383155"/>
            <wp:effectExtent l="0" t="0" r="0" b="0"/>
            <wp:wrapTopAndBottom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BE4" w:rsidRDefault="006F3BE4" w:rsidP="006F3BE4"/>
    <w:p w:rsidR="006F3BE4" w:rsidRPr="00DE26F0" w:rsidRDefault="006F3BE4" w:rsidP="006F3BE4">
      <w:pPr>
        <w:spacing w:line="360" w:lineRule="auto"/>
        <w:rPr>
          <w:sz w:val="28"/>
          <w:szCs w:val="28"/>
        </w:rPr>
      </w:pPr>
      <w:r w:rsidRPr="006C5CC1">
        <w:rPr>
          <w:rFonts w:hint="eastAsia"/>
          <w:sz w:val="24"/>
          <w:szCs w:val="28"/>
        </w:rPr>
        <w:t>F</w:t>
      </w:r>
      <w:r>
        <w:rPr>
          <w:sz w:val="24"/>
          <w:szCs w:val="28"/>
        </w:rPr>
        <w:t xml:space="preserve">ig. </w:t>
      </w:r>
      <w:r w:rsidRPr="006C5CC1">
        <w:rPr>
          <w:sz w:val="24"/>
          <w:szCs w:val="28"/>
        </w:rPr>
        <w:t>2</w:t>
      </w:r>
      <w:r>
        <w:rPr>
          <w:sz w:val="24"/>
          <w:szCs w:val="28"/>
        </w:rPr>
        <w:t>S</w:t>
      </w:r>
      <w:r w:rsidRPr="006C5CC1">
        <w:rPr>
          <w:sz w:val="24"/>
          <w:szCs w:val="28"/>
        </w:rPr>
        <w:t xml:space="preserve">. Relationships </w:t>
      </w:r>
      <w:r>
        <w:rPr>
          <w:sz w:val="24"/>
          <w:szCs w:val="28"/>
        </w:rPr>
        <w:t>between</w:t>
      </w:r>
      <w:r w:rsidRPr="006C5CC1">
        <w:rPr>
          <w:sz w:val="24"/>
          <w:szCs w:val="28"/>
        </w:rPr>
        <w:t xml:space="preserve"> </w:t>
      </w:r>
      <w:r w:rsidRPr="006C5CC1">
        <w:rPr>
          <w:sz w:val="24"/>
          <w:szCs w:val="32"/>
        </w:rPr>
        <w:t>stomatal conductance to water vapor</w:t>
      </w:r>
      <w:r>
        <w:rPr>
          <w:sz w:val="24"/>
          <w:szCs w:val="32"/>
        </w:rPr>
        <w:t xml:space="preserve"> </w:t>
      </w:r>
      <w:r w:rsidRPr="006C5CC1">
        <w:rPr>
          <w:sz w:val="24"/>
          <w:szCs w:val="32"/>
        </w:rPr>
        <w:t>(</w:t>
      </w:r>
      <w:proofErr w:type="spellStart"/>
      <w:r w:rsidRPr="006C5CC1">
        <w:rPr>
          <w:i/>
          <w:iCs/>
          <w:sz w:val="24"/>
          <w:szCs w:val="32"/>
        </w:rPr>
        <w:t>g</w:t>
      </w:r>
      <w:r w:rsidRPr="006C5CC1">
        <w:rPr>
          <w:sz w:val="24"/>
          <w:szCs w:val="32"/>
          <w:vertAlign w:val="subscript"/>
        </w:rPr>
        <w:t>sw</w:t>
      </w:r>
      <w:proofErr w:type="spellEnd"/>
      <w:r w:rsidRPr="006C5CC1">
        <w:rPr>
          <w:sz w:val="24"/>
          <w:szCs w:val="32"/>
        </w:rPr>
        <w:t>) and intercellular CO</w:t>
      </w:r>
      <w:r w:rsidRPr="006C5CC1">
        <w:rPr>
          <w:sz w:val="24"/>
          <w:szCs w:val="32"/>
          <w:vertAlign w:val="subscript"/>
        </w:rPr>
        <w:t>2</w:t>
      </w:r>
      <w:r w:rsidRPr="006C5CC1">
        <w:rPr>
          <w:sz w:val="24"/>
          <w:szCs w:val="32"/>
        </w:rPr>
        <w:t xml:space="preserve"> concentration (</w:t>
      </w:r>
      <w:r w:rsidRPr="006C5CC1">
        <w:rPr>
          <w:i/>
          <w:iCs/>
          <w:sz w:val="24"/>
          <w:szCs w:val="32"/>
        </w:rPr>
        <w:t>C</w:t>
      </w:r>
      <w:r w:rsidRPr="006C5CC1">
        <w:rPr>
          <w:sz w:val="24"/>
          <w:szCs w:val="32"/>
          <w:vertAlign w:val="subscript"/>
        </w:rPr>
        <w:t>i</w:t>
      </w:r>
      <w:r w:rsidRPr="006C5CC1">
        <w:rPr>
          <w:rFonts w:cs="Times New Roman"/>
          <w:sz w:val="24"/>
          <w:szCs w:val="32"/>
        </w:rPr>
        <w:t xml:space="preserve">) measured by </w:t>
      </w:r>
      <w:r>
        <w:rPr>
          <w:sz w:val="24"/>
          <w:szCs w:val="32"/>
        </w:rPr>
        <w:t>a</w:t>
      </w:r>
      <w:r>
        <w:rPr>
          <w:sz w:val="24"/>
          <w:szCs w:val="32"/>
        </w:rPr>
        <w:t xml:space="preserve"> portable gas-</w:t>
      </w:r>
      <w:r w:rsidRPr="006C5CC1">
        <w:rPr>
          <w:sz w:val="24"/>
          <w:szCs w:val="32"/>
        </w:rPr>
        <w:t>exchange system (</w:t>
      </w:r>
      <w:r w:rsidRPr="00BC1C9D">
        <w:rPr>
          <w:i/>
          <w:sz w:val="24"/>
          <w:szCs w:val="32"/>
        </w:rPr>
        <w:t>LI-6400</w:t>
      </w:r>
      <w:r w:rsidRPr="006C5CC1">
        <w:rPr>
          <w:sz w:val="24"/>
          <w:szCs w:val="32"/>
        </w:rPr>
        <w:t xml:space="preserve">, </w:t>
      </w:r>
      <w:r w:rsidRPr="00BC1C9D">
        <w:rPr>
          <w:i/>
          <w:sz w:val="24"/>
          <w:szCs w:val="32"/>
        </w:rPr>
        <w:t>LI-COR</w:t>
      </w:r>
      <w:r w:rsidRPr="006C5CC1">
        <w:rPr>
          <w:sz w:val="24"/>
          <w:szCs w:val="32"/>
        </w:rPr>
        <w:t xml:space="preserve">, Lincoln, NE, USA) equipped with a leaf chamber </w:t>
      </w:r>
      <w:proofErr w:type="spellStart"/>
      <w:r w:rsidRPr="006C5CC1">
        <w:rPr>
          <w:sz w:val="24"/>
          <w:szCs w:val="32"/>
        </w:rPr>
        <w:t>fluorometer</w:t>
      </w:r>
      <w:proofErr w:type="spellEnd"/>
      <w:r w:rsidRPr="006C5CC1">
        <w:rPr>
          <w:sz w:val="24"/>
          <w:szCs w:val="32"/>
        </w:rPr>
        <w:t xml:space="preserve"> (</w:t>
      </w:r>
      <w:r w:rsidRPr="006C5CC1">
        <w:rPr>
          <w:i/>
          <w:iCs/>
          <w:sz w:val="24"/>
          <w:szCs w:val="32"/>
        </w:rPr>
        <w:t>A</w:t>
      </w:r>
      <w:r w:rsidRPr="006C5CC1">
        <w:rPr>
          <w:sz w:val="24"/>
          <w:szCs w:val="32"/>
        </w:rPr>
        <w:t>) and clear top chamber (</w:t>
      </w:r>
      <w:r w:rsidRPr="006C5CC1">
        <w:rPr>
          <w:i/>
          <w:iCs/>
          <w:sz w:val="24"/>
          <w:szCs w:val="32"/>
        </w:rPr>
        <w:t>B</w:t>
      </w:r>
      <w:r w:rsidRPr="006C5CC1">
        <w:rPr>
          <w:sz w:val="24"/>
          <w:szCs w:val="32"/>
        </w:rPr>
        <w:t xml:space="preserve">) on </w:t>
      </w:r>
      <w:r>
        <w:rPr>
          <w:sz w:val="24"/>
          <w:szCs w:val="28"/>
        </w:rPr>
        <w:t>the day when gas-</w:t>
      </w:r>
      <w:r w:rsidRPr="006C5CC1">
        <w:rPr>
          <w:sz w:val="24"/>
          <w:szCs w:val="28"/>
        </w:rPr>
        <w:t>exchange measurements were conducted (</w:t>
      </w:r>
      <w:r w:rsidRPr="006C5CC1">
        <w:rPr>
          <w:i/>
          <w:iCs/>
          <w:sz w:val="24"/>
          <w:szCs w:val="28"/>
        </w:rPr>
        <w:t>i.e.</w:t>
      </w:r>
      <w:r w:rsidRPr="006F3BE4">
        <w:rPr>
          <w:iCs/>
          <w:sz w:val="24"/>
          <w:szCs w:val="28"/>
        </w:rPr>
        <w:t>,</w:t>
      </w:r>
      <w:r w:rsidRPr="006C5CC1">
        <w:rPr>
          <w:sz w:val="24"/>
          <w:szCs w:val="28"/>
        </w:rPr>
        <w:t xml:space="preserve"> </w:t>
      </w:r>
      <w:r w:rsidRPr="006F3BE4">
        <w:rPr>
          <w:i/>
          <w:sz w:val="24"/>
          <w:szCs w:val="28"/>
        </w:rPr>
        <w:t>yellow circle</w:t>
      </w:r>
      <w:r w:rsidRPr="006C5CC1">
        <w:rPr>
          <w:sz w:val="24"/>
          <w:szCs w:val="28"/>
        </w:rPr>
        <w:t xml:space="preserve">: 22 May; </w:t>
      </w:r>
      <w:r w:rsidRPr="006F3BE4">
        <w:rPr>
          <w:i/>
          <w:sz w:val="24"/>
          <w:szCs w:val="28"/>
        </w:rPr>
        <w:t>blue triangle</w:t>
      </w:r>
      <w:r w:rsidRPr="006C5CC1">
        <w:rPr>
          <w:sz w:val="24"/>
          <w:szCs w:val="28"/>
        </w:rPr>
        <w:t xml:space="preserve">: 23 May; </w:t>
      </w:r>
      <w:r w:rsidRPr="006F3BE4">
        <w:rPr>
          <w:i/>
          <w:sz w:val="24"/>
          <w:szCs w:val="28"/>
        </w:rPr>
        <w:t>purple square</w:t>
      </w:r>
      <w:r w:rsidRPr="006C5CC1">
        <w:rPr>
          <w:sz w:val="24"/>
          <w:szCs w:val="28"/>
        </w:rPr>
        <w:t>: 30 May).</w:t>
      </w:r>
    </w:p>
    <w:p w:rsidR="006F3BE4" w:rsidRDefault="006F3BE4" w:rsidP="006F3BE4"/>
    <w:p w:rsidR="006F3BE4" w:rsidRDefault="006F3BE4" w:rsidP="006F3BE4">
      <w:pPr>
        <w:spacing w:line="360" w:lineRule="auto"/>
        <w:rPr>
          <w:sz w:val="24"/>
          <w:szCs w:val="32"/>
        </w:rPr>
      </w:pPr>
      <w:r w:rsidRPr="0037317B"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 wp14:anchorId="14CCE78E" wp14:editId="13DBE311">
            <wp:simplePos x="0" y="0"/>
            <wp:positionH relativeFrom="column">
              <wp:posOffset>1905</wp:posOffset>
            </wp:positionH>
            <wp:positionV relativeFrom="paragraph">
              <wp:posOffset>-9525</wp:posOffset>
            </wp:positionV>
            <wp:extent cx="2880000" cy="2732666"/>
            <wp:effectExtent l="0" t="0" r="0" b="0"/>
            <wp:wrapTopAndBottom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73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6F0">
        <w:rPr>
          <w:rFonts w:hint="eastAsia"/>
          <w:sz w:val="24"/>
          <w:szCs w:val="28"/>
        </w:rPr>
        <w:t>F</w:t>
      </w:r>
      <w:r>
        <w:rPr>
          <w:sz w:val="24"/>
          <w:szCs w:val="28"/>
        </w:rPr>
        <w:t xml:space="preserve">ig. </w:t>
      </w:r>
      <w:r w:rsidRPr="00DE26F0">
        <w:rPr>
          <w:sz w:val="24"/>
          <w:szCs w:val="28"/>
        </w:rPr>
        <w:t>3</w:t>
      </w:r>
      <w:r>
        <w:rPr>
          <w:sz w:val="24"/>
          <w:szCs w:val="28"/>
        </w:rPr>
        <w:t>S</w:t>
      </w:r>
      <w:r w:rsidRPr="00DE26F0">
        <w:rPr>
          <w:sz w:val="24"/>
          <w:szCs w:val="28"/>
        </w:rPr>
        <w:t xml:space="preserve">. Relationships </w:t>
      </w:r>
      <w:r>
        <w:rPr>
          <w:sz w:val="24"/>
          <w:szCs w:val="28"/>
        </w:rPr>
        <w:t xml:space="preserve">between </w:t>
      </w:r>
      <w:r w:rsidRPr="00DE26F0">
        <w:rPr>
          <w:sz w:val="24"/>
          <w:szCs w:val="28"/>
        </w:rPr>
        <w:t>leaf temperature (</w:t>
      </w:r>
      <w:proofErr w:type="spellStart"/>
      <w:r w:rsidRPr="00DE26F0">
        <w:rPr>
          <w:i/>
          <w:sz w:val="24"/>
          <w:szCs w:val="28"/>
        </w:rPr>
        <w:t>T</w:t>
      </w:r>
      <w:r w:rsidRPr="00DE26F0">
        <w:rPr>
          <w:sz w:val="24"/>
          <w:szCs w:val="28"/>
          <w:vertAlign w:val="subscript"/>
        </w:rPr>
        <w:t>leaf</w:t>
      </w:r>
      <w:proofErr w:type="spellEnd"/>
      <w:r w:rsidRPr="00DE26F0">
        <w:rPr>
          <w:sz w:val="24"/>
          <w:szCs w:val="28"/>
        </w:rPr>
        <w:t xml:space="preserve">) and </w:t>
      </w:r>
      <w:r w:rsidRPr="00DE26F0">
        <w:rPr>
          <w:sz w:val="24"/>
          <w:szCs w:val="32"/>
        </w:rPr>
        <w:t xml:space="preserve">maximum carboxylation rate </w:t>
      </w:r>
      <w:r>
        <w:rPr>
          <w:sz w:val="24"/>
          <w:szCs w:val="32"/>
        </w:rPr>
        <w:t>based on the</w:t>
      </w:r>
      <w:r w:rsidRPr="00DE26F0">
        <w:rPr>
          <w:sz w:val="24"/>
          <w:szCs w:val="32"/>
        </w:rPr>
        <w:t xml:space="preserve"> CO</w:t>
      </w:r>
      <w:r w:rsidRPr="00DE26F0">
        <w:rPr>
          <w:sz w:val="24"/>
          <w:szCs w:val="32"/>
          <w:vertAlign w:val="subscript"/>
        </w:rPr>
        <w:t>2</w:t>
      </w:r>
      <w:r w:rsidRPr="00DE26F0">
        <w:rPr>
          <w:sz w:val="24"/>
          <w:szCs w:val="32"/>
        </w:rPr>
        <w:t xml:space="preserve"> concentration at the carboxylation site at </w:t>
      </w:r>
      <w:proofErr w:type="spellStart"/>
      <w:r w:rsidRPr="00DE26F0">
        <w:rPr>
          <w:i/>
          <w:sz w:val="24"/>
          <w:szCs w:val="32"/>
        </w:rPr>
        <w:t>T</w:t>
      </w:r>
      <w:r w:rsidRPr="00DE26F0">
        <w:rPr>
          <w:sz w:val="24"/>
          <w:szCs w:val="32"/>
          <w:vertAlign w:val="subscript"/>
        </w:rPr>
        <w:t>leaf</w:t>
      </w:r>
      <w:proofErr w:type="spellEnd"/>
      <w:r w:rsidRPr="00DE26F0">
        <w:rPr>
          <w:sz w:val="24"/>
          <w:szCs w:val="32"/>
        </w:rPr>
        <w:t xml:space="preserve"> [</w:t>
      </w:r>
      <w:proofErr w:type="spellStart"/>
      <w:proofErr w:type="gramStart"/>
      <w:r w:rsidRPr="00DE26F0">
        <w:rPr>
          <w:i/>
          <w:iCs/>
          <w:sz w:val="24"/>
          <w:szCs w:val="32"/>
        </w:rPr>
        <w:t>V</w:t>
      </w:r>
      <w:r w:rsidRPr="00DE26F0">
        <w:rPr>
          <w:sz w:val="24"/>
          <w:szCs w:val="32"/>
          <w:vertAlign w:val="subscript"/>
        </w:rPr>
        <w:t>cmax</w:t>
      </w:r>
      <w:proofErr w:type="spellEnd"/>
      <w:r w:rsidRPr="00DE26F0">
        <w:rPr>
          <w:sz w:val="24"/>
          <w:szCs w:val="32"/>
        </w:rPr>
        <w:t>(</w:t>
      </w:r>
      <w:proofErr w:type="spellStart"/>
      <w:proofErr w:type="gramEnd"/>
      <w:r w:rsidRPr="00DE26F0">
        <w:rPr>
          <w:i/>
          <w:iCs/>
          <w:sz w:val="24"/>
          <w:szCs w:val="32"/>
        </w:rPr>
        <w:t>C</w:t>
      </w:r>
      <w:r w:rsidRPr="00DE26F0">
        <w:rPr>
          <w:sz w:val="24"/>
          <w:szCs w:val="32"/>
          <w:vertAlign w:val="subscript"/>
        </w:rPr>
        <w:t>c</w:t>
      </w:r>
      <w:r w:rsidRPr="00DE26F0">
        <w:rPr>
          <w:sz w:val="24"/>
          <w:szCs w:val="32"/>
        </w:rPr>
        <w:t>,</w:t>
      </w:r>
      <w:r w:rsidRPr="00DE26F0">
        <w:rPr>
          <w:i/>
          <w:sz w:val="24"/>
          <w:szCs w:val="32"/>
        </w:rPr>
        <w:t>T</w:t>
      </w:r>
      <w:r w:rsidRPr="00DE26F0">
        <w:rPr>
          <w:sz w:val="24"/>
          <w:szCs w:val="32"/>
          <w:vertAlign w:val="subscript"/>
        </w:rPr>
        <w:t>leaf</w:t>
      </w:r>
      <w:proofErr w:type="spellEnd"/>
      <w:r w:rsidRPr="00DE26F0">
        <w:rPr>
          <w:sz w:val="24"/>
          <w:szCs w:val="32"/>
        </w:rPr>
        <w:t xml:space="preserve">)]. </w:t>
      </w:r>
      <w:r w:rsidRPr="006F3BE4">
        <w:rPr>
          <w:i/>
          <w:sz w:val="24"/>
          <w:szCs w:val="32"/>
        </w:rPr>
        <w:t>The red lines</w:t>
      </w:r>
      <w:r w:rsidRPr="00DE26F0">
        <w:rPr>
          <w:sz w:val="24"/>
          <w:szCs w:val="32"/>
        </w:rPr>
        <w:t xml:space="preserve"> </w:t>
      </w:r>
      <w:r>
        <w:rPr>
          <w:sz w:val="24"/>
          <w:szCs w:val="32"/>
        </w:rPr>
        <w:t>were</w:t>
      </w:r>
      <w:r w:rsidRPr="00DE26F0">
        <w:rPr>
          <w:sz w:val="24"/>
          <w:szCs w:val="32"/>
        </w:rPr>
        <w:t xml:space="preserve"> calculated from the fitting curve </w:t>
      </w:r>
      <w:r>
        <w:rPr>
          <w:sz w:val="24"/>
          <w:szCs w:val="32"/>
        </w:rPr>
        <w:t>using the Arrhenius</w:t>
      </w:r>
      <w:r w:rsidRPr="00DE26F0">
        <w:rPr>
          <w:sz w:val="24"/>
          <w:szCs w:val="32"/>
        </w:rPr>
        <w:t xml:space="preserve"> function.</w:t>
      </w:r>
    </w:p>
    <w:p w:rsidR="006F3BE4" w:rsidRDefault="006F3BE4" w:rsidP="006F3BE4">
      <w:pPr>
        <w:spacing w:line="360" w:lineRule="auto"/>
        <w:rPr>
          <w:sz w:val="24"/>
          <w:szCs w:val="32"/>
        </w:rPr>
      </w:pPr>
    </w:p>
    <w:p w:rsidR="006F3BE4" w:rsidRDefault="006F3BE4" w:rsidP="006F3BE4">
      <w:pPr>
        <w:spacing w:line="360" w:lineRule="auto"/>
        <w:ind w:firstLineChars="114" w:firstLine="274"/>
        <w:rPr>
          <w:rFonts w:cs="Times New Roman"/>
          <w:sz w:val="24"/>
          <w:szCs w:val="32"/>
        </w:rPr>
      </w:pPr>
    </w:p>
    <w:p w:rsidR="006F3BE4" w:rsidRPr="006F3BE4" w:rsidRDefault="006F3BE4" w:rsidP="006F3BE4">
      <w:pPr>
        <w:spacing w:line="360" w:lineRule="auto"/>
        <w:rPr>
          <w:sz w:val="32"/>
          <w:szCs w:val="32"/>
        </w:rPr>
      </w:pPr>
      <w:r w:rsidRPr="0037317B">
        <w:rPr>
          <w:noProof/>
          <w:lang w:val="cs-CZ" w:eastAsia="cs-CZ"/>
        </w:rPr>
        <w:lastRenderedPageBreak/>
        <w:drawing>
          <wp:anchor distT="0" distB="0" distL="114300" distR="114300" simplePos="0" relativeHeight="251665408" behindDoc="0" locked="0" layoutInCell="1" allowOverlap="1" wp14:anchorId="16193E0B" wp14:editId="616DEBC2">
            <wp:simplePos x="0" y="0"/>
            <wp:positionH relativeFrom="column">
              <wp:posOffset>1905</wp:posOffset>
            </wp:positionH>
            <wp:positionV relativeFrom="paragraph">
              <wp:posOffset>2235</wp:posOffset>
            </wp:positionV>
            <wp:extent cx="5759450" cy="2383155"/>
            <wp:effectExtent l="0" t="0" r="0" b="0"/>
            <wp:wrapTopAndBottom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C01">
        <w:rPr>
          <w:rFonts w:hint="eastAsia"/>
          <w:sz w:val="24"/>
          <w:szCs w:val="28"/>
        </w:rPr>
        <w:t>F</w:t>
      </w:r>
      <w:r>
        <w:rPr>
          <w:sz w:val="24"/>
          <w:szCs w:val="28"/>
        </w:rPr>
        <w:t xml:space="preserve">ig. </w:t>
      </w:r>
      <w:r w:rsidRPr="00820C01">
        <w:rPr>
          <w:sz w:val="24"/>
          <w:szCs w:val="28"/>
        </w:rPr>
        <w:t>4</w:t>
      </w:r>
      <w:r>
        <w:rPr>
          <w:sz w:val="24"/>
          <w:szCs w:val="28"/>
        </w:rPr>
        <w:t>S</w:t>
      </w:r>
      <w:r w:rsidRPr="00820C01">
        <w:rPr>
          <w:sz w:val="24"/>
          <w:szCs w:val="28"/>
        </w:rPr>
        <w:t xml:space="preserve">. Relationships </w:t>
      </w:r>
      <w:r>
        <w:rPr>
          <w:sz w:val="24"/>
          <w:szCs w:val="28"/>
        </w:rPr>
        <w:t>between</w:t>
      </w:r>
      <w:r w:rsidRPr="00820C01">
        <w:rPr>
          <w:sz w:val="24"/>
          <w:szCs w:val="28"/>
        </w:rPr>
        <w:t xml:space="preserve"> </w:t>
      </w:r>
      <w:r w:rsidRPr="00820C01">
        <w:rPr>
          <w:sz w:val="24"/>
          <w:szCs w:val="32"/>
        </w:rPr>
        <w:t xml:space="preserve">PPFD and </w:t>
      </w:r>
      <w:r w:rsidRPr="00820C01">
        <w:rPr>
          <w:rFonts w:hint="eastAsia"/>
          <w:sz w:val="24"/>
          <w:szCs w:val="32"/>
        </w:rPr>
        <w:t>l</w:t>
      </w:r>
      <w:r w:rsidRPr="00820C01">
        <w:rPr>
          <w:sz w:val="24"/>
          <w:szCs w:val="32"/>
        </w:rPr>
        <w:t>eaf photosynthetic rate (</w:t>
      </w:r>
      <w:r w:rsidRPr="00820C01">
        <w:rPr>
          <w:i/>
          <w:iCs/>
          <w:sz w:val="24"/>
          <w:szCs w:val="32"/>
        </w:rPr>
        <w:t>P</w:t>
      </w:r>
      <w:r w:rsidRPr="00820C01">
        <w:rPr>
          <w:sz w:val="24"/>
          <w:szCs w:val="32"/>
          <w:vertAlign w:val="subscript"/>
        </w:rPr>
        <w:t>N</w:t>
      </w:r>
      <w:r w:rsidRPr="00820C01">
        <w:rPr>
          <w:sz w:val="24"/>
          <w:szCs w:val="32"/>
        </w:rPr>
        <w:t xml:space="preserve">) on </w:t>
      </w:r>
      <w:r w:rsidRPr="00820C01">
        <w:rPr>
          <w:sz w:val="24"/>
          <w:szCs w:val="28"/>
        </w:rPr>
        <w:t>the day when</w:t>
      </w:r>
      <w:r>
        <w:rPr>
          <w:sz w:val="24"/>
          <w:szCs w:val="28"/>
        </w:rPr>
        <w:t xml:space="preserve"> gas-</w:t>
      </w:r>
      <w:r w:rsidRPr="00820C01">
        <w:rPr>
          <w:sz w:val="24"/>
          <w:szCs w:val="28"/>
        </w:rPr>
        <w:t>exchange measurements were conducted (</w:t>
      </w:r>
      <w:r w:rsidRPr="00820C01">
        <w:rPr>
          <w:i/>
          <w:iCs/>
          <w:sz w:val="24"/>
          <w:szCs w:val="28"/>
        </w:rPr>
        <w:t>i.e.</w:t>
      </w:r>
      <w:r w:rsidRPr="006F3BE4">
        <w:rPr>
          <w:iCs/>
          <w:sz w:val="24"/>
          <w:szCs w:val="28"/>
        </w:rPr>
        <w:t>,</w:t>
      </w:r>
      <w:r w:rsidRPr="00820C01">
        <w:rPr>
          <w:sz w:val="24"/>
          <w:szCs w:val="28"/>
        </w:rPr>
        <w:t xml:space="preserve"> </w:t>
      </w:r>
      <w:r w:rsidRPr="00820C01">
        <w:rPr>
          <w:i/>
          <w:iCs/>
          <w:sz w:val="24"/>
          <w:szCs w:val="28"/>
        </w:rPr>
        <w:t>A</w:t>
      </w:r>
      <w:r w:rsidRPr="00820C01">
        <w:rPr>
          <w:sz w:val="24"/>
          <w:szCs w:val="28"/>
        </w:rPr>
        <w:t xml:space="preserve">: </w:t>
      </w:r>
      <w:r>
        <w:rPr>
          <w:sz w:val="24"/>
          <w:szCs w:val="28"/>
        </w:rPr>
        <w:t xml:space="preserve">22 </w:t>
      </w:r>
      <w:r w:rsidRPr="00820C01">
        <w:rPr>
          <w:sz w:val="24"/>
          <w:szCs w:val="28"/>
        </w:rPr>
        <w:t xml:space="preserve">May; </w:t>
      </w:r>
      <w:r w:rsidRPr="00820C01">
        <w:rPr>
          <w:i/>
          <w:iCs/>
          <w:sz w:val="24"/>
          <w:szCs w:val="28"/>
        </w:rPr>
        <w:t>B</w:t>
      </w:r>
      <w:r w:rsidRPr="00820C01">
        <w:rPr>
          <w:sz w:val="24"/>
          <w:szCs w:val="28"/>
        </w:rPr>
        <w:t xml:space="preserve">: </w:t>
      </w:r>
      <w:r>
        <w:rPr>
          <w:sz w:val="24"/>
          <w:szCs w:val="28"/>
        </w:rPr>
        <w:t xml:space="preserve">23 </w:t>
      </w:r>
      <w:r w:rsidRPr="00820C01">
        <w:rPr>
          <w:sz w:val="24"/>
          <w:szCs w:val="28"/>
        </w:rPr>
        <w:t xml:space="preserve">May; </w:t>
      </w:r>
      <w:r w:rsidRPr="00820C01">
        <w:rPr>
          <w:i/>
          <w:iCs/>
          <w:sz w:val="24"/>
          <w:szCs w:val="28"/>
        </w:rPr>
        <w:t>C</w:t>
      </w:r>
      <w:r w:rsidRPr="00820C01">
        <w:rPr>
          <w:sz w:val="24"/>
          <w:szCs w:val="28"/>
        </w:rPr>
        <w:t xml:space="preserve">: </w:t>
      </w:r>
      <w:r>
        <w:rPr>
          <w:sz w:val="24"/>
          <w:szCs w:val="28"/>
        </w:rPr>
        <w:t xml:space="preserve">30 </w:t>
      </w:r>
      <w:r w:rsidRPr="00820C01">
        <w:rPr>
          <w:sz w:val="24"/>
          <w:szCs w:val="28"/>
        </w:rPr>
        <w:t xml:space="preserve">May). NS and S indicate </w:t>
      </w:r>
      <w:r w:rsidRPr="00820C01">
        <w:rPr>
          <w:i/>
          <w:iCs/>
          <w:sz w:val="24"/>
          <w:szCs w:val="32"/>
        </w:rPr>
        <w:t>P</w:t>
      </w:r>
      <w:r w:rsidRPr="00820C01">
        <w:rPr>
          <w:sz w:val="24"/>
          <w:szCs w:val="32"/>
          <w:vertAlign w:val="subscript"/>
        </w:rPr>
        <w:t>N</w:t>
      </w:r>
      <w:r w:rsidRPr="00820C01">
        <w:rPr>
          <w:sz w:val="24"/>
          <w:szCs w:val="32"/>
        </w:rPr>
        <w:t xml:space="preserve"> before (</w:t>
      </w:r>
      <w:r w:rsidRPr="006F3BE4">
        <w:rPr>
          <w:i/>
          <w:sz w:val="24"/>
          <w:szCs w:val="32"/>
        </w:rPr>
        <w:t>yellow circle</w:t>
      </w:r>
      <w:r w:rsidRPr="00820C01">
        <w:rPr>
          <w:sz w:val="24"/>
          <w:szCs w:val="32"/>
        </w:rPr>
        <w:t>) and after (</w:t>
      </w:r>
      <w:r w:rsidRPr="006F3BE4">
        <w:rPr>
          <w:i/>
          <w:sz w:val="24"/>
          <w:szCs w:val="32"/>
        </w:rPr>
        <w:t>purple square</w:t>
      </w:r>
      <w:r w:rsidRPr="00820C01">
        <w:rPr>
          <w:sz w:val="24"/>
          <w:szCs w:val="32"/>
        </w:rPr>
        <w:t>) environmental stress</w:t>
      </w:r>
      <w:r>
        <w:rPr>
          <w:sz w:val="24"/>
          <w:szCs w:val="32"/>
        </w:rPr>
        <w:t>-induced decreases</w:t>
      </w:r>
      <w:r w:rsidRPr="00820C01">
        <w:rPr>
          <w:sz w:val="24"/>
          <w:szCs w:val="32"/>
        </w:rPr>
        <w:t>, respectively.</w:t>
      </w:r>
      <w:bookmarkStart w:id="0" w:name="_GoBack"/>
      <w:bookmarkEnd w:id="0"/>
    </w:p>
    <w:sectPr w:rsidR="006F3BE4" w:rsidRPr="006F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E4"/>
    <w:rsid w:val="003479DF"/>
    <w:rsid w:val="003B4330"/>
    <w:rsid w:val="006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A464"/>
  <w15:chartTrackingRefBased/>
  <w15:docId w15:val="{18AB76EF-FB6D-4BEA-B67E-0158C177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BE4"/>
    <w:pPr>
      <w:widowControl w:val="0"/>
      <w:spacing w:after="0" w:line="240" w:lineRule="auto"/>
      <w:jc w:val="both"/>
    </w:pPr>
    <w:rPr>
      <w:rFonts w:ascii="Times New Roman" w:eastAsia="MS Mincho" w:hAnsi="Times New Roman"/>
      <w:kern w:val="2"/>
      <w:szCs w:val="24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Spoustová Petra UEB</dc:creator>
  <cp:keywords/>
  <dc:description/>
  <cp:lastModifiedBy>Spoustová Petra UEB</cp:lastModifiedBy>
  <cp:revision>1</cp:revision>
  <dcterms:created xsi:type="dcterms:W3CDTF">2023-01-12T13:02:00Z</dcterms:created>
  <dcterms:modified xsi:type="dcterms:W3CDTF">2023-01-12T13:22:00Z</dcterms:modified>
</cp:coreProperties>
</file>