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4B1E" w:rsidRDefault="00E95754">
      <w:r w:rsidRPr="00804EF6">
        <w:rPr>
          <w:rFonts w:ascii="Garamond" w:hAnsi="Garamond"/>
          <w:b/>
          <w:noProof/>
          <w:lang w:val="cs-CZ" w:eastAsia="cs-CZ"/>
        </w:rPr>
        <w:drawing>
          <wp:inline distT="0" distB="0" distL="0" distR="0" wp14:anchorId="36706B0E" wp14:editId="11C7D53A">
            <wp:extent cx="5029200" cy="3657600"/>
            <wp:effectExtent l="0" t="0" r="0" b="0"/>
            <wp:docPr id="1" name="Chart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4"/>
              </a:graphicData>
            </a:graphic>
          </wp:inline>
        </w:drawing>
      </w:r>
    </w:p>
    <w:p w:rsidR="00BB5940" w:rsidRPr="00B63B3B" w:rsidRDefault="00BB5940" w:rsidP="00BB5940">
      <w:pPr>
        <w:spacing w:after="0" w:line="360" w:lineRule="auto"/>
        <w:contextualSpacing/>
        <w:jc w:val="both"/>
        <w:rPr>
          <w:rFonts w:eastAsia="Times New Roman"/>
          <w:lang w:val="en-US"/>
        </w:rPr>
      </w:pPr>
      <w:r w:rsidRPr="00BB5940">
        <w:rPr>
          <w:rFonts w:eastAsia="Times New Roman"/>
          <w:lang w:val="en-US"/>
        </w:rPr>
        <w:t>Fig. 1S</w:t>
      </w:r>
      <w:r>
        <w:rPr>
          <w:rFonts w:eastAsia="Times New Roman"/>
          <w:lang w:val="en-US"/>
        </w:rPr>
        <w:t>.</w:t>
      </w:r>
      <w:bookmarkStart w:id="0" w:name="_GoBack"/>
      <w:bookmarkEnd w:id="0"/>
      <w:r w:rsidRPr="00BB5940">
        <w:rPr>
          <w:rFonts w:eastAsia="Times New Roman"/>
          <w:lang w:val="en-US"/>
        </w:rPr>
        <w:t xml:space="preserve"> Transmission</w:t>
      </w:r>
      <w:r w:rsidRPr="00B63B3B">
        <w:rPr>
          <w:rFonts w:eastAsia="Times New Roman"/>
          <w:lang w:val="en-US"/>
        </w:rPr>
        <w:t xml:space="preserve"> spectra of UV-B and UV-A/B cut-off filters used in growth cabins for raising soybean plants under natural conditions.</w:t>
      </w:r>
    </w:p>
    <w:p w:rsidR="00E95754" w:rsidRPr="00C5708C" w:rsidRDefault="00E95754" w:rsidP="00BB5940">
      <w:pPr>
        <w:rPr>
          <w:b/>
        </w:rPr>
      </w:pPr>
    </w:p>
    <w:sectPr w:rsidR="00E95754" w:rsidRPr="00C570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170F"/>
    <w:rsid w:val="002524DC"/>
    <w:rsid w:val="006C170F"/>
    <w:rsid w:val="00813BAF"/>
    <w:rsid w:val="00B02758"/>
    <w:rsid w:val="00B22251"/>
    <w:rsid w:val="00BB5940"/>
    <w:rsid w:val="00C5708C"/>
    <w:rsid w:val="00E95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4E155C"/>
  <w15:docId w15:val="{C85AA949-EDDB-4EC0-A862-AF1178012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color w:val="000000" w:themeColor="text1"/>
        <w:sz w:val="24"/>
        <w:szCs w:val="24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9575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E9575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chart" Target="charts/chart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oleObject" Target="../embeddings/oleObject1.bin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cs-CZ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>
        <c:manualLayout>
          <c:layoutTarget val="inner"/>
          <c:xMode val="edge"/>
          <c:yMode val="edge"/>
          <c:x val="0.13176680715740477"/>
          <c:y val="9.7558293145170089E-2"/>
          <c:w val="0.81655961054660764"/>
          <c:h val="0.72390597564545145"/>
        </c:manualLayout>
      </c:layout>
      <c:scatterChart>
        <c:scatterStyle val="smoothMarker"/>
        <c:varyColors val="0"/>
        <c:ser>
          <c:idx val="0"/>
          <c:order val="0"/>
          <c:tx>
            <c:strRef>
              <c:f>'Sheet4 (2)'!$C$4</c:f>
              <c:strCache>
                <c:ptCount val="1"/>
                <c:pt idx="0">
                  <c:v>polythene</c:v>
                </c:pt>
              </c:strCache>
            </c:strRef>
          </c:tx>
          <c:spPr>
            <a:ln w="19050"/>
          </c:spPr>
          <c:marker>
            <c:symbol val="diamond"/>
            <c:size val="5"/>
          </c:marker>
          <c:xVal>
            <c:numRef>
              <c:f>'Sheet4 (2)'!$B$5:$B$30</c:f>
              <c:numCache>
                <c:formatCode>General</c:formatCode>
                <c:ptCount val="26"/>
                <c:pt idx="0">
                  <c:v>0</c:v>
                </c:pt>
                <c:pt idx="1">
                  <c:v>200</c:v>
                </c:pt>
                <c:pt idx="2">
                  <c:v>225</c:v>
                </c:pt>
                <c:pt idx="3">
                  <c:v>250</c:v>
                </c:pt>
                <c:pt idx="4">
                  <c:v>275</c:v>
                </c:pt>
                <c:pt idx="5">
                  <c:v>300</c:v>
                </c:pt>
                <c:pt idx="6">
                  <c:v>325</c:v>
                </c:pt>
                <c:pt idx="7">
                  <c:v>350</c:v>
                </c:pt>
                <c:pt idx="8">
                  <c:v>375</c:v>
                </c:pt>
                <c:pt idx="9">
                  <c:v>400</c:v>
                </c:pt>
                <c:pt idx="10">
                  <c:v>425</c:v>
                </c:pt>
                <c:pt idx="11">
                  <c:v>450</c:v>
                </c:pt>
                <c:pt idx="12">
                  <c:v>475</c:v>
                </c:pt>
                <c:pt idx="13">
                  <c:v>500</c:v>
                </c:pt>
                <c:pt idx="14">
                  <c:v>525</c:v>
                </c:pt>
                <c:pt idx="15">
                  <c:v>550</c:v>
                </c:pt>
                <c:pt idx="16">
                  <c:v>575</c:v>
                </c:pt>
                <c:pt idx="17">
                  <c:v>600</c:v>
                </c:pt>
                <c:pt idx="18">
                  <c:v>625</c:v>
                </c:pt>
                <c:pt idx="19">
                  <c:v>650</c:v>
                </c:pt>
                <c:pt idx="20">
                  <c:v>675</c:v>
                </c:pt>
                <c:pt idx="21">
                  <c:v>700</c:v>
                </c:pt>
                <c:pt idx="22">
                  <c:v>725</c:v>
                </c:pt>
                <c:pt idx="23">
                  <c:v>750</c:v>
                </c:pt>
                <c:pt idx="24">
                  <c:v>775</c:v>
                </c:pt>
                <c:pt idx="25">
                  <c:v>800</c:v>
                </c:pt>
              </c:numCache>
            </c:numRef>
          </c:xVal>
          <c:yVal>
            <c:numRef>
              <c:f>'Sheet4 (2)'!$C$5:$C$30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</c:v>
                </c:pt>
                <c:pt idx="3">
                  <c:v>0</c:v>
                </c:pt>
                <c:pt idx="4">
                  <c:v>0.1</c:v>
                </c:pt>
                <c:pt idx="5">
                  <c:v>49.2</c:v>
                </c:pt>
                <c:pt idx="6">
                  <c:v>76.5</c:v>
                </c:pt>
                <c:pt idx="7">
                  <c:v>79.599999999999994</c:v>
                </c:pt>
                <c:pt idx="8">
                  <c:v>81.3</c:v>
                </c:pt>
                <c:pt idx="9">
                  <c:v>85.2</c:v>
                </c:pt>
                <c:pt idx="10">
                  <c:v>88.2</c:v>
                </c:pt>
                <c:pt idx="11">
                  <c:v>88.9</c:v>
                </c:pt>
                <c:pt idx="12">
                  <c:v>89.3</c:v>
                </c:pt>
                <c:pt idx="13">
                  <c:v>89.5</c:v>
                </c:pt>
                <c:pt idx="14">
                  <c:v>89.5</c:v>
                </c:pt>
                <c:pt idx="15">
                  <c:v>89.5</c:v>
                </c:pt>
                <c:pt idx="16">
                  <c:v>89.4</c:v>
                </c:pt>
                <c:pt idx="17">
                  <c:v>89.4</c:v>
                </c:pt>
                <c:pt idx="18">
                  <c:v>89.6</c:v>
                </c:pt>
                <c:pt idx="19">
                  <c:v>89.8</c:v>
                </c:pt>
                <c:pt idx="20">
                  <c:v>90</c:v>
                </c:pt>
                <c:pt idx="21">
                  <c:v>90.3</c:v>
                </c:pt>
                <c:pt idx="22">
                  <c:v>90.6</c:v>
                </c:pt>
                <c:pt idx="23">
                  <c:v>90.8</c:v>
                </c:pt>
                <c:pt idx="24">
                  <c:v>90.9</c:v>
                </c:pt>
                <c:pt idx="25">
                  <c:v>91.1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0-C22B-475B-81F6-4D55D4A0DCBB}"/>
            </c:ext>
          </c:extLst>
        </c:ser>
        <c:ser>
          <c:idx val="1"/>
          <c:order val="1"/>
          <c:tx>
            <c:strRef>
              <c:f>'Sheet4 (2)'!$D$4</c:f>
              <c:strCache>
                <c:ptCount val="1"/>
                <c:pt idx="0">
                  <c:v>-UV-B</c:v>
                </c:pt>
              </c:strCache>
            </c:strRef>
          </c:tx>
          <c:spPr>
            <a:ln w="19050"/>
          </c:spPr>
          <c:marker>
            <c:symbol val="square"/>
            <c:size val="3"/>
          </c:marker>
          <c:xVal>
            <c:numRef>
              <c:f>'Sheet4 (2)'!$B$5:$B$30</c:f>
              <c:numCache>
                <c:formatCode>General</c:formatCode>
                <c:ptCount val="26"/>
                <c:pt idx="0">
                  <c:v>0</c:v>
                </c:pt>
                <c:pt idx="1">
                  <c:v>200</c:v>
                </c:pt>
                <c:pt idx="2">
                  <c:v>225</c:v>
                </c:pt>
                <c:pt idx="3">
                  <c:v>250</c:v>
                </c:pt>
                <c:pt idx="4">
                  <c:v>275</c:v>
                </c:pt>
                <c:pt idx="5">
                  <c:v>300</c:v>
                </c:pt>
                <c:pt idx="6">
                  <c:v>325</c:v>
                </c:pt>
                <c:pt idx="7">
                  <c:v>350</c:v>
                </c:pt>
                <c:pt idx="8">
                  <c:v>375</c:v>
                </c:pt>
                <c:pt idx="9">
                  <c:v>400</c:v>
                </c:pt>
                <c:pt idx="10">
                  <c:v>425</c:v>
                </c:pt>
                <c:pt idx="11">
                  <c:v>450</c:v>
                </c:pt>
                <c:pt idx="12">
                  <c:v>475</c:v>
                </c:pt>
                <c:pt idx="13">
                  <c:v>500</c:v>
                </c:pt>
                <c:pt idx="14">
                  <c:v>525</c:v>
                </c:pt>
                <c:pt idx="15">
                  <c:v>550</c:v>
                </c:pt>
                <c:pt idx="16">
                  <c:v>575</c:v>
                </c:pt>
                <c:pt idx="17">
                  <c:v>600</c:v>
                </c:pt>
                <c:pt idx="18">
                  <c:v>625</c:v>
                </c:pt>
                <c:pt idx="19">
                  <c:v>650</c:v>
                </c:pt>
                <c:pt idx="20">
                  <c:v>675</c:v>
                </c:pt>
                <c:pt idx="21">
                  <c:v>700</c:v>
                </c:pt>
                <c:pt idx="22">
                  <c:v>725</c:v>
                </c:pt>
                <c:pt idx="23">
                  <c:v>750</c:v>
                </c:pt>
                <c:pt idx="24">
                  <c:v>775</c:v>
                </c:pt>
                <c:pt idx="25">
                  <c:v>800</c:v>
                </c:pt>
              </c:numCache>
            </c:numRef>
          </c:xVal>
          <c:yVal>
            <c:numRef>
              <c:f>'Sheet4 (2)'!$D$5:$D$30</c:f>
              <c:numCache>
                <c:formatCode>General</c:formatCode>
                <c:ptCount val="26"/>
                <c:pt idx="0">
                  <c:v>0</c:v>
                </c:pt>
                <c:pt idx="1">
                  <c:v>0</c:v>
                </c:pt>
                <c:pt idx="2">
                  <c:v>0.1</c:v>
                </c:pt>
                <c:pt idx="3">
                  <c:v>0.1</c:v>
                </c:pt>
                <c:pt idx="4">
                  <c:v>0.1</c:v>
                </c:pt>
                <c:pt idx="5">
                  <c:v>0.1</c:v>
                </c:pt>
                <c:pt idx="6">
                  <c:v>74.3</c:v>
                </c:pt>
                <c:pt idx="7">
                  <c:v>79.400000000000006</c:v>
                </c:pt>
                <c:pt idx="8">
                  <c:v>81.8</c:v>
                </c:pt>
                <c:pt idx="9">
                  <c:v>83.5</c:v>
                </c:pt>
                <c:pt idx="10">
                  <c:v>84.4</c:v>
                </c:pt>
                <c:pt idx="11">
                  <c:v>85</c:v>
                </c:pt>
                <c:pt idx="12">
                  <c:v>85.2</c:v>
                </c:pt>
                <c:pt idx="13">
                  <c:v>85.3</c:v>
                </c:pt>
                <c:pt idx="14">
                  <c:v>85.4</c:v>
                </c:pt>
                <c:pt idx="15">
                  <c:v>85.7</c:v>
                </c:pt>
                <c:pt idx="16">
                  <c:v>85.9</c:v>
                </c:pt>
                <c:pt idx="17">
                  <c:v>86.1</c:v>
                </c:pt>
                <c:pt idx="18">
                  <c:v>86.3</c:v>
                </c:pt>
                <c:pt idx="19">
                  <c:v>86.6</c:v>
                </c:pt>
                <c:pt idx="20">
                  <c:v>86.5</c:v>
                </c:pt>
                <c:pt idx="21">
                  <c:v>87.1</c:v>
                </c:pt>
                <c:pt idx="22">
                  <c:v>87</c:v>
                </c:pt>
                <c:pt idx="23">
                  <c:v>86.1</c:v>
                </c:pt>
                <c:pt idx="24">
                  <c:v>87.3</c:v>
                </c:pt>
                <c:pt idx="25">
                  <c:v>88.6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1-C22B-475B-81F6-4D55D4A0DCBB}"/>
            </c:ext>
          </c:extLst>
        </c:ser>
        <c:ser>
          <c:idx val="2"/>
          <c:order val="2"/>
          <c:tx>
            <c:strRef>
              <c:f>'Sheet4 (2)'!$E$4</c:f>
              <c:strCache>
                <c:ptCount val="1"/>
                <c:pt idx="0">
                  <c:v>-UV-A/B</c:v>
                </c:pt>
              </c:strCache>
            </c:strRef>
          </c:tx>
          <c:spPr>
            <a:ln w="19050">
              <a:solidFill>
                <a:schemeClr val="tx1"/>
              </a:solidFill>
            </a:ln>
          </c:spPr>
          <c:marker>
            <c:symbol val="circle"/>
            <c:size val="4"/>
            <c:spPr>
              <a:solidFill>
                <a:schemeClr val="tx1"/>
              </a:solidFill>
            </c:spPr>
          </c:marker>
          <c:xVal>
            <c:numRef>
              <c:f>'Sheet4 (2)'!$B$5:$B$30</c:f>
              <c:numCache>
                <c:formatCode>General</c:formatCode>
                <c:ptCount val="26"/>
                <c:pt idx="0">
                  <c:v>0</c:v>
                </c:pt>
                <c:pt idx="1">
                  <c:v>200</c:v>
                </c:pt>
                <c:pt idx="2">
                  <c:v>225</c:v>
                </c:pt>
                <c:pt idx="3">
                  <c:v>250</c:v>
                </c:pt>
                <c:pt idx="4">
                  <c:v>275</c:v>
                </c:pt>
                <c:pt idx="5">
                  <c:v>300</c:v>
                </c:pt>
                <c:pt idx="6">
                  <c:v>325</c:v>
                </c:pt>
                <c:pt idx="7">
                  <c:v>350</c:v>
                </c:pt>
                <c:pt idx="8">
                  <c:v>375</c:v>
                </c:pt>
                <c:pt idx="9">
                  <c:v>400</c:v>
                </c:pt>
                <c:pt idx="10">
                  <c:v>425</c:v>
                </c:pt>
                <c:pt idx="11">
                  <c:v>450</c:v>
                </c:pt>
                <c:pt idx="12">
                  <c:v>475</c:v>
                </c:pt>
                <c:pt idx="13">
                  <c:v>500</c:v>
                </c:pt>
                <c:pt idx="14">
                  <c:v>525</c:v>
                </c:pt>
                <c:pt idx="15">
                  <c:v>550</c:v>
                </c:pt>
                <c:pt idx="16">
                  <c:v>575</c:v>
                </c:pt>
                <c:pt idx="17">
                  <c:v>600</c:v>
                </c:pt>
                <c:pt idx="18">
                  <c:v>625</c:v>
                </c:pt>
                <c:pt idx="19">
                  <c:v>650</c:v>
                </c:pt>
                <c:pt idx="20">
                  <c:v>675</c:v>
                </c:pt>
                <c:pt idx="21">
                  <c:v>700</c:v>
                </c:pt>
                <c:pt idx="22">
                  <c:v>725</c:v>
                </c:pt>
                <c:pt idx="23">
                  <c:v>750</c:v>
                </c:pt>
                <c:pt idx="24">
                  <c:v>775</c:v>
                </c:pt>
                <c:pt idx="25">
                  <c:v>800</c:v>
                </c:pt>
              </c:numCache>
            </c:numRef>
          </c:xVal>
          <c:yVal>
            <c:numRef>
              <c:f>'Sheet4 (2)'!$E$5:$E$30</c:f>
              <c:numCache>
                <c:formatCode>General</c:formatCode>
                <c:ptCount val="26"/>
                <c:pt idx="0">
                  <c:v>0</c:v>
                </c:pt>
                <c:pt idx="1">
                  <c:v>0.1</c:v>
                </c:pt>
                <c:pt idx="2">
                  <c:v>0</c:v>
                </c:pt>
                <c:pt idx="3">
                  <c:v>0</c:v>
                </c:pt>
                <c:pt idx="4">
                  <c:v>0.1</c:v>
                </c:pt>
                <c:pt idx="5">
                  <c:v>0.1</c:v>
                </c:pt>
                <c:pt idx="6">
                  <c:v>0.9</c:v>
                </c:pt>
                <c:pt idx="7">
                  <c:v>0.30000000000000032</c:v>
                </c:pt>
                <c:pt idx="8">
                  <c:v>0.8</c:v>
                </c:pt>
                <c:pt idx="9">
                  <c:v>1.5</c:v>
                </c:pt>
                <c:pt idx="10">
                  <c:v>86.8</c:v>
                </c:pt>
                <c:pt idx="11">
                  <c:v>88</c:v>
                </c:pt>
                <c:pt idx="12">
                  <c:v>88.1</c:v>
                </c:pt>
                <c:pt idx="13">
                  <c:v>88.5</c:v>
                </c:pt>
                <c:pt idx="14">
                  <c:v>89.9</c:v>
                </c:pt>
                <c:pt idx="15">
                  <c:v>90</c:v>
                </c:pt>
                <c:pt idx="16">
                  <c:v>90</c:v>
                </c:pt>
                <c:pt idx="17">
                  <c:v>90.5</c:v>
                </c:pt>
                <c:pt idx="18">
                  <c:v>90.5</c:v>
                </c:pt>
                <c:pt idx="19">
                  <c:v>89.6</c:v>
                </c:pt>
                <c:pt idx="20">
                  <c:v>89.7</c:v>
                </c:pt>
                <c:pt idx="21">
                  <c:v>90.4</c:v>
                </c:pt>
                <c:pt idx="22">
                  <c:v>89.4</c:v>
                </c:pt>
                <c:pt idx="23">
                  <c:v>90.6</c:v>
                </c:pt>
                <c:pt idx="24">
                  <c:v>90</c:v>
                </c:pt>
                <c:pt idx="25">
                  <c:v>90.6</c:v>
                </c:pt>
              </c:numCache>
            </c:numRef>
          </c:yVal>
          <c:smooth val="1"/>
          <c:extLst>
            <c:ext xmlns:c16="http://schemas.microsoft.com/office/drawing/2014/chart" uri="{C3380CC4-5D6E-409C-BE32-E72D297353CC}">
              <c16:uniqueId val="{00000002-C22B-475B-81F6-4D55D4A0DCB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axId val="153618688"/>
        <c:axId val="154203648"/>
      </c:scatterChart>
      <c:valAx>
        <c:axId val="153618688"/>
        <c:scaling>
          <c:orientation val="minMax"/>
          <c:max val="700"/>
          <c:min val="200"/>
        </c:scaling>
        <c:delete val="0"/>
        <c:axPos val="b"/>
        <c:title>
          <c:tx>
            <c:rich>
              <a:bodyPr/>
              <a:lstStyle/>
              <a:p>
                <a:pPr>
                  <a:defRPr lang="en-IN"/>
                </a:pPr>
                <a:r>
                  <a:rPr lang="en-IN"/>
                  <a:t>Wavelength (nm)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ln w="25400">
            <a:solidFill>
              <a:schemeClr val="tx1"/>
            </a:solidFill>
          </a:ln>
        </c:spPr>
        <c:txPr>
          <a:bodyPr rot="0" vert="horz"/>
          <a:lstStyle/>
          <a:p>
            <a:pPr>
              <a:defRPr lang="en-IN"/>
            </a:pPr>
            <a:endParaRPr lang="cs-CZ"/>
          </a:p>
        </c:txPr>
        <c:crossAx val="154203648"/>
        <c:crosses val="autoZero"/>
        <c:crossBetween val="midCat"/>
      </c:valAx>
      <c:valAx>
        <c:axId val="154203648"/>
        <c:scaling>
          <c:orientation val="minMax"/>
          <c:min val="0"/>
        </c:scaling>
        <c:delete val="0"/>
        <c:axPos val="l"/>
        <c:title>
          <c:tx>
            <c:rich>
              <a:bodyPr rot="-5400000" vert="horz"/>
              <a:lstStyle/>
              <a:p>
                <a:pPr>
                  <a:defRPr lang="en-IN"/>
                </a:pPr>
                <a:r>
                  <a:rPr lang="en-IN"/>
                  <a:t>% Transmission</a:t>
                </a:r>
              </a:p>
            </c:rich>
          </c:tx>
          <c:layout/>
          <c:overlay val="0"/>
        </c:title>
        <c:numFmt formatCode="General" sourceLinked="1"/>
        <c:majorTickMark val="none"/>
        <c:minorTickMark val="none"/>
        <c:tickLblPos val="nextTo"/>
        <c:spPr>
          <a:ln w="25400">
            <a:solidFill>
              <a:schemeClr val="tx1"/>
            </a:solidFill>
          </a:ln>
        </c:spPr>
        <c:txPr>
          <a:bodyPr/>
          <a:lstStyle/>
          <a:p>
            <a:pPr>
              <a:defRPr lang="en-IN"/>
            </a:pPr>
            <a:endParaRPr lang="cs-CZ"/>
          </a:p>
        </c:txPr>
        <c:crossAx val="153618688"/>
        <c:crosses val="autoZero"/>
        <c:crossBetween val="midCat"/>
      </c:valAx>
      <c:spPr>
        <a:noFill/>
        <a:ln w="25400">
          <a:solidFill>
            <a:schemeClr val="tx1"/>
          </a:solidFill>
        </a:ln>
      </c:spPr>
    </c:plotArea>
    <c:legend>
      <c:legendPos val="r"/>
      <c:layout>
        <c:manualLayout>
          <c:xMode val="edge"/>
          <c:yMode val="edge"/>
          <c:x val="0.71582796468623233"/>
          <c:y val="0.3287636701662292"/>
          <c:w val="0.20540702298576313"/>
          <c:h val="0.17580618599145736"/>
        </c:manualLayout>
      </c:layout>
      <c:overlay val="1"/>
      <c:txPr>
        <a:bodyPr/>
        <a:lstStyle/>
        <a:p>
          <a:pPr>
            <a:defRPr lang="en-IN"/>
          </a:pPr>
          <a:endParaRPr lang="cs-CZ"/>
        </a:p>
      </c:txPr>
    </c:legend>
    <c:plotVisOnly val="1"/>
    <c:dispBlanksAs val="gap"/>
    <c:showDLblsOverMax val="0"/>
  </c:chart>
  <c:spPr>
    <a:noFill/>
    <a:ln>
      <a:noFill/>
    </a:ln>
  </c:spPr>
  <c:txPr>
    <a:bodyPr/>
    <a:lstStyle/>
    <a:p>
      <a:pPr>
        <a:defRPr sz="1050" b="1">
          <a:latin typeface="Times New Roman" pitchFamily="18" charset="0"/>
          <a:cs typeface="Times New Roman" pitchFamily="18" charset="0"/>
        </a:defRPr>
      </a:pPr>
      <a:endParaRPr lang="cs-CZ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123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Sunita</dc:creator>
  <cp:keywords/>
  <dc:description/>
  <cp:lastModifiedBy>Spoustová Petra UEB</cp:lastModifiedBy>
  <cp:revision>2</cp:revision>
  <dcterms:created xsi:type="dcterms:W3CDTF">2022-12-08T10:12:00Z</dcterms:created>
  <dcterms:modified xsi:type="dcterms:W3CDTF">2022-12-08T10:12:00Z</dcterms:modified>
</cp:coreProperties>
</file>