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B2" w:rsidRPr="00347535" w:rsidRDefault="007974B2" w:rsidP="0034753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47535">
        <w:rPr>
          <w:rFonts w:ascii="Times New Roman" w:hAnsi="Times New Roman" w:cs="Times New Roman"/>
          <w:b/>
          <w:bCs/>
          <w:color w:val="000000" w:themeColor="text1"/>
        </w:rPr>
        <w:t>Supplementary data</w:t>
      </w:r>
    </w:p>
    <w:p w:rsidR="007974B2" w:rsidRPr="00347535" w:rsidRDefault="007974B2" w:rsidP="0034753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47535">
        <w:rPr>
          <w:rFonts w:ascii="Times New Roman" w:hAnsi="Times New Roman" w:cs="Times New Roman"/>
          <w:noProof/>
          <w:color w:val="000000" w:themeColor="text1"/>
          <w:lang w:val="cs-CZ" w:eastAsia="cs-CZ"/>
        </w:rPr>
        <w:drawing>
          <wp:inline distT="0" distB="0" distL="0" distR="0" wp14:anchorId="546223F7" wp14:editId="540AA308">
            <wp:extent cx="5383033" cy="1880036"/>
            <wp:effectExtent l="0" t="0" r="8255" b="6350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4102DF9-AA13-135C-7C77-35D6C8F5AB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C4102DF9-AA13-135C-7C77-35D6C8F5AB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5322" cy="188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4B2" w:rsidRPr="00347535" w:rsidRDefault="007974B2" w:rsidP="0034753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7974B2" w:rsidRPr="00347535" w:rsidRDefault="007974B2" w:rsidP="0034753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47535">
        <w:rPr>
          <w:rFonts w:ascii="Times New Roman" w:hAnsi="Times New Roman" w:cs="Times New Roman"/>
          <w:color w:val="000000" w:themeColor="text1"/>
        </w:rPr>
        <w:t>Fig. 1S</w:t>
      </w:r>
      <w:r w:rsidRPr="00347535">
        <w:rPr>
          <w:rFonts w:ascii="Times New Roman" w:hAnsi="Times New Roman" w:cs="Times New Roman"/>
          <w:color w:val="000000" w:themeColor="text1"/>
        </w:rPr>
        <w:t>.</w:t>
      </w:r>
      <w:r w:rsidRPr="00347535">
        <w:rPr>
          <w:rFonts w:ascii="Times New Roman" w:hAnsi="Times New Roman" w:cs="Times New Roman"/>
          <w:color w:val="000000" w:themeColor="text1"/>
        </w:rPr>
        <w:t xml:space="preserve"> Maximum (T</w:t>
      </w:r>
      <w:r w:rsidRPr="00347535">
        <w:rPr>
          <w:rFonts w:ascii="Times New Roman" w:hAnsi="Times New Roman" w:cs="Times New Roman"/>
          <w:color w:val="000000" w:themeColor="text1"/>
          <w:vertAlign w:val="subscript"/>
        </w:rPr>
        <w:t>max</w:t>
      </w:r>
      <w:r w:rsidRPr="00347535">
        <w:rPr>
          <w:rFonts w:ascii="Times New Roman" w:hAnsi="Times New Roman" w:cs="Times New Roman"/>
          <w:color w:val="000000" w:themeColor="text1"/>
        </w:rPr>
        <w:t>), minimum (T</w:t>
      </w:r>
      <w:r w:rsidRPr="00347535">
        <w:rPr>
          <w:rFonts w:ascii="Times New Roman" w:hAnsi="Times New Roman" w:cs="Times New Roman"/>
          <w:color w:val="000000" w:themeColor="text1"/>
          <w:vertAlign w:val="subscript"/>
        </w:rPr>
        <w:t>min</w:t>
      </w:r>
      <w:r w:rsidRPr="00347535">
        <w:rPr>
          <w:rFonts w:ascii="Times New Roman" w:hAnsi="Times New Roman" w:cs="Times New Roman"/>
          <w:color w:val="000000" w:themeColor="text1"/>
        </w:rPr>
        <w:t xml:space="preserve">), and the average temperature in the greenhouse during the experiment. </w:t>
      </w:r>
      <w:bookmarkStart w:id="0" w:name="_GoBack"/>
      <w:r w:rsidRPr="00347535">
        <w:rPr>
          <w:rFonts w:ascii="Times New Roman" w:hAnsi="Times New Roman" w:cs="Times New Roman"/>
          <w:i/>
          <w:color w:val="000000" w:themeColor="text1"/>
        </w:rPr>
        <w:t>Dotted vertical lines</w:t>
      </w:r>
      <w:r w:rsidRPr="00347535">
        <w:rPr>
          <w:rFonts w:ascii="Times New Roman" w:hAnsi="Times New Roman" w:cs="Times New Roman"/>
          <w:color w:val="000000" w:themeColor="text1"/>
        </w:rPr>
        <w:t xml:space="preserve"> </w:t>
      </w:r>
      <w:bookmarkEnd w:id="0"/>
      <w:r w:rsidRPr="00347535">
        <w:rPr>
          <w:rFonts w:ascii="Times New Roman" w:hAnsi="Times New Roman" w:cs="Times New Roman"/>
          <w:color w:val="000000" w:themeColor="text1"/>
        </w:rPr>
        <w:t>indicate sampling days in the days after transplantation.</w:t>
      </w:r>
    </w:p>
    <w:p w:rsidR="007974B2" w:rsidRPr="00347535" w:rsidRDefault="007974B2" w:rsidP="0034753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  <w:sectPr w:rsidR="007974B2" w:rsidRPr="00347535" w:rsidSect="00607E2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974B2" w:rsidRPr="00347535" w:rsidRDefault="007974B2" w:rsidP="0034753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974B2" w:rsidRPr="00347535" w:rsidRDefault="007974B2" w:rsidP="0034753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347535">
        <w:rPr>
          <w:rFonts w:ascii="Times New Roman" w:hAnsi="Times New Roman" w:cs="Times New Roman"/>
          <w:noProof/>
          <w:color w:val="000000" w:themeColor="text1"/>
          <w:lang w:val="cs-CZ" w:eastAsia="cs-CZ"/>
        </w:rPr>
        <w:drawing>
          <wp:inline distT="0" distB="0" distL="0" distR="0" wp14:anchorId="371D4937" wp14:editId="798E9E9D">
            <wp:extent cx="5943600" cy="3166745"/>
            <wp:effectExtent l="0" t="0" r="0" b="0"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7085916-47E2-8790-7D43-C44ACE672B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7085916-47E2-8790-7D43-C44ACE672B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4B2" w:rsidRPr="00347535" w:rsidRDefault="007974B2" w:rsidP="0034753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</w:rPr>
      </w:pPr>
    </w:p>
    <w:p w:rsidR="007974B2" w:rsidRPr="00347535" w:rsidRDefault="007974B2" w:rsidP="00347535">
      <w:pPr>
        <w:pStyle w:val="Titulek"/>
        <w:spacing w:after="0"/>
        <w:contextualSpacing/>
        <w:jc w:val="both"/>
        <w:rPr>
          <w:rFonts w:cs="Times New Roman"/>
          <w:i w:val="0"/>
          <w:color w:val="000000" w:themeColor="text1"/>
          <w:sz w:val="22"/>
          <w:szCs w:val="22"/>
        </w:rPr>
      </w:pPr>
      <w:r w:rsidRPr="00347535">
        <w:rPr>
          <w:rFonts w:cs="Times New Roman"/>
          <w:bCs/>
          <w:i w:val="0"/>
          <w:color w:val="000000" w:themeColor="text1"/>
          <w:sz w:val="22"/>
          <w:szCs w:val="22"/>
        </w:rPr>
        <w:t>Fig. 2S</w:t>
      </w:r>
      <w:r w:rsidRPr="00347535">
        <w:rPr>
          <w:rFonts w:cs="Times New Roman"/>
          <w:bCs/>
          <w:i w:val="0"/>
          <w:color w:val="000000" w:themeColor="text1"/>
          <w:sz w:val="22"/>
          <w:szCs w:val="22"/>
        </w:rPr>
        <w:t>.</w:t>
      </w:r>
      <w:r w:rsidRPr="00347535">
        <w:rPr>
          <w:rFonts w:cs="Times New Roman"/>
          <w:i w:val="0"/>
          <w:color w:val="000000" w:themeColor="text1"/>
          <w:sz w:val="22"/>
          <w:szCs w:val="22"/>
        </w:rPr>
        <w:t xml:space="preserve"> Response of the CO</w:t>
      </w:r>
      <w:r w:rsidRPr="00347535">
        <w:rPr>
          <w:rFonts w:cs="Times New Roman"/>
          <w:i w:val="0"/>
          <w:color w:val="000000" w:themeColor="text1"/>
          <w:sz w:val="22"/>
          <w:szCs w:val="22"/>
          <w:vertAlign w:val="subscript"/>
        </w:rPr>
        <w:t>2</w:t>
      </w:r>
      <w:r w:rsidRPr="00347535">
        <w:rPr>
          <w:rFonts w:cs="Times New Roman"/>
          <w:i w:val="0"/>
          <w:color w:val="000000" w:themeColor="text1"/>
          <w:sz w:val="22"/>
          <w:szCs w:val="22"/>
        </w:rPr>
        <w:t xml:space="preserve"> assimilation rate (</w:t>
      </w:r>
      <w:r w:rsidRPr="00347535">
        <w:rPr>
          <w:rFonts w:cs="Times New Roman"/>
          <w:color w:val="000000" w:themeColor="text1"/>
          <w:sz w:val="22"/>
          <w:szCs w:val="22"/>
        </w:rPr>
        <w:t>P</w:t>
      </w:r>
      <w:r w:rsidRPr="00347535">
        <w:rPr>
          <w:rFonts w:cs="Times New Roman"/>
          <w:i w:val="0"/>
          <w:iCs w:val="0"/>
          <w:color w:val="000000" w:themeColor="text1"/>
          <w:sz w:val="22"/>
          <w:szCs w:val="22"/>
          <w:vertAlign w:val="subscript"/>
        </w:rPr>
        <w:t>N</w:t>
      </w:r>
      <w:r w:rsidRPr="00347535">
        <w:rPr>
          <w:rFonts w:cs="Times New Roman"/>
          <w:i w:val="0"/>
          <w:color w:val="000000" w:themeColor="text1"/>
          <w:sz w:val="22"/>
          <w:szCs w:val="22"/>
        </w:rPr>
        <w:t>) to increasing intercellular CO</w:t>
      </w:r>
      <w:r w:rsidRPr="00347535">
        <w:rPr>
          <w:rFonts w:cs="Times New Roman"/>
          <w:i w:val="0"/>
          <w:color w:val="000000" w:themeColor="text1"/>
          <w:sz w:val="22"/>
          <w:szCs w:val="22"/>
          <w:vertAlign w:val="subscript"/>
        </w:rPr>
        <w:t>2</w:t>
      </w:r>
      <w:r w:rsidRPr="00347535">
        <w:rPr>
          <w:rFonts w:cs="Times New Roman"/>
          <w:i w:val="0"/>
          <w:color w:val="000000" w:themeColor="text1"/>
          <w:sz w:val="22"/>
          <w:szCs w:val="22"/>
        </w:rPr>
        <w:t xml:space="preserve"> concentration (</w:t>
      </w:r>
      <w:r w:rsidRPr="00347535">
        <w:rPr>
          <w:rFonts w:cs="Times New Roman"/>
          <w:iCs w:val="0"/>
          <w:color w:val="000000" w:themeColor="text1"/>
          <w:sz w:val="22"/>
          <w:szCs w:val="22"/>
        </w:rPr>
        <w:t>C</w:t>
      </w:r>
      <w:r w:rsidRPr="00347535">
        <w:rPr>
          <w:rFonts w:cs="Times New Roman"/>
          <w:i w:val="0"/>
          <w:iCs w:val="0"/>
          <w:color w:val="000000" w:themeColor="text1"/>
          <w:sz w:val="22"/>
          <w:szCs w:val="22"/>
          <w:vertAlign w:val="subscript"/>
        </w:rPr>
        <w:t>i</w:t>
      </w:r>
      <w:r w:rsidRPr="00347535">
        <w:rPr>
          <w:rFonts w:cs="Times New Roman"/>
          <w:i w:val="0"/>
          <w:color w:val="000000" w:themeColor="text1"/>
          <w:sz w:val="22"/>
          <w:szCs w:val="22"/>
        </w:rPr>
        <w:t>) (</w:t>
      </w:r>
      <w:r w:rsidRPr="00347535">
        <w:rPr>
          <w:rFonts w:cs="Times New Roman"/>
          <w:color w:val="000000" w:themeColor="text1"/>
          <w:sz w:val="22"/>
          <w:szCs w:val="22"/>
        </w:rPr>
        <w:t>P</w:t>
      </w:r>
      <w:r w:rsidRPr="00347535">
        <w:rPr>
          <w:rFonts w:cs="Times New Roman"/>
          <w:i w:val="0"/>
          <w:iCs w:val="0"/>
          <w:color w:val="000000" w:themeColor="text1"/>
          <w:sz w:val="22"/>
          <w:szCs w:val="22"/>
          <w:vertAlign w:val="subscript"/>
        </w:rPr>
        <w:t>N</w:t>
      </w:r>
      <w:r w:rsidRPr="00347535">
        <w:rPr>
          <w:rFonts w:cs="Times New Roman"/>
          <w:color w:val="000000" w:themeColor="text1"/>
          <w:sz w:val="22"/>
          <w:szCs w:val="22"/>
        </w:rPr>
        <w:t>/C</w:t>
      </w:r>
      <w:r w:rsidRPr="00347535">
        <w:rPr>
          <w:rFonts w:cs="Times New Roman"/>
          <w:i w:val="0"/>
          <w:color w:val="000000" w:themeColor="text1"/>
          <w:sz w:val="22"/>
          <w:szCs w:val="22"/>
          <w:vertAlign w:val="subscript"/>
        </w:rPr>
        <w:t>i</w:t>
      </w:r>
      <w:r w:rsidRPr="00347535">
        <w:rPr>
          <w:rFonts w:cs="Times New Roman"/>
          <w:i w:val="0"/>
          <w:color w:val="000000" w:themeColor="text1"/>
          <w:sz w:val="22"/>
          <w:szCs w:val="22"/>
        </w:rPr>
        <w:t xml:space="preserve"> </w:t>
      </w:r>
      <w:r w:rsidR="00347535">
        <w:rPr>
          <w:rFonts w:cs="Times New Roman"/>
          <w:i w:val="0"/>
          <w:color w:val="000000" w:themeColor="text1"/>
          <w:sz w:val="22"/>
          <w:szCs w:val="22"/>
        </w:rPr>
        <w:t>c</w:t>
      </w:r>
      <w:r w:rsidRPr="00347535">
        <w:rPr>
          <w:rFonts w:cs="Times New Roman"/>
          <w:i w:val="0"/>
          <w:color w:val="000000" w:themeColor="text1"/>
          <w:sz w:val="22"/>
          <w:szCs w:val="22"/>
        </w:rPr>
        <w:t xml:space="preserve">urve) in the ‘Green Forest’ lettuce after 11 d (late rosette, GS1) of control and salt treatments. </w:t>
      </w:r>
      <w:r w:rsidRPr="00347535">
        <w:rPr>
          <w:rFonts w:cs="Times New Roman"/>
          <w:color w:val="000000" w:themeColor="text1"/>
          <w:sz w:val="22"/>
          <w:szCs w:val="22"/>
        </w:rPr>
        <w:t>The vertical bars</w:t>
      </w:r>
      <w:r w:rsidRPr="00347535">
        <w:rPr>
          <w:rFonts w:cs="Times New Roman"/>
          <w:i w:val="0"/>
          <w:color w:val="000000" w:themeColor="text1"/>
          <w:sz w:val="22"/>
          <w:szCs w:val="22"/>
        </w:rPr>
        <w:t xml:space="preserve"> represent the standard error of the mean (</w:t>
      </w:r>
      <w:r w:rsidRPr="00347535">
        <w:rPr>
          <w:rFonts w:cs="Times New Roman"/>
          <w:iCs w:val="0"/>
          <w:color w:val="000000" w:themeColor="text1"/>
          <w:sz w:val="22"/>
          <w:szCs w:val="22"/>
        </w:rPr>
        <w:t>n</w:t>
      </w:r>
      <w:r w:rsidRPr="00347535">
        <w:rPr>
          <w:rFonts w:cs="Times New Roman"/>
          <w:i w:val="0"/>
          <w:color w:val="000000" w:themeColor="text1"/>
          <w:sz w:val="22"/>
          <w:szCs w:val="22"/>
        </w:rPr>
        <w:t> = 4).</w:t>
      </w:r>
    </w:p>
    <w:p w:rsidR="007974B2" w:rsidRPr="00347535" w:rsidRDefault="007974B2" w:rsidP="0034753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</w:rPr>
      </w:pPr>
    </w:p>
    <w:p w:rsidR="007974B2" w:rsidRPr="00347535" w:rsidRDefault="007974B2" w:rsidP="00347535">
      <w:pPr>
        <w:tabs>
          <w:tab w:val="left" w:pos="69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  <w:sectPr w:rsidR="007974B2" w:rsidRPr="00347535" w:rsidSect="00607E2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47535">
        <w:rPr>
          <w:rFonts w:ascii="Times New Roman" w:hAnsi="Times New Roman" w:cs="Times New Roman"/>
          <w:color w:val="000000" w:themeColor="text1"/>
        </w:rPr>
        <w:tab/>
      </w:r>
    </w:p>
    <w:p w:rsidR="007974B2" w:rsidRPr="00347535" w:rsidRDefault="007974B2" w:rsidP="0034753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7974B2" w:rsidRPr="00347535" w:rsidRDefault="007974B2" w:rsidP="0034753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7974B2" w:rsidRPr="00347535" w:rsidRDefault="007974B2" w:rsidP="0034753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47535">
        <w:rPr>
          <w:rFonts w:ascii="Times New Roman" w:hAnsi="Times New Roman" w:cs="Times New Roman"/>
          <w:noProof/>
          <w:color w:val="000000" w:themeColor="text1"/>
          <w:lang w:val="cs-CZ" w:eastAsia="cs-CZ"/>
        </w:rPr>
        <w:drawing>
          <wp:inline distT="0" distB="0" distL="0" distR="0" wp14:anchorId="6F67F2DB" wp14:editId="01DCA549">
            <wp:extent cx="5359933" cy="3188473"/>
            <wp:effectExtent l="0" t="0" r="0" b="0"/>
            <wp:docPr id="18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8DA4B498-757D-69F2-5AE4-E58E12CD94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8DA4B498-757D-69F2-5AE4-E58E12CD94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6813" cy="319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4B2" w:rsidRPr="00347535" w:rsidRDefault="007974B2" w:rsidP="00347535">
      <w:pPr>
        <w:pStyle w:val="Titulek"/>
        <w:spacing w:after="0"/>
        <w:contextualSpacing/>
        <w:jc w:val="both"/>
        <w:rPr>
          <w:rFonts w:cs="Times New Roman"/>
          <w:i w:val="0"/>
          <w:color w:val="000000" w:themeColor="text1"/>
          <w:sz w:val="22"/>
          <w:szCs w:val="22"/>
        </w:rPr>
      </w:pPr>
      <w:r w:rsidRPr="00347535">
        <w:rPr>
          <w:rFonts w:cs="Times New Roman"/>
          <w:bCs/>
          <w:i w:val="0"/>
          <w:color w:val="000000" w:themeColor="text1"/>
          <w:sz w:val="22"/>
          <w:szCs w:val="22"/>
        </w:rPr>
        <w:t>Fig. 3S</w:t>
      </w:r>
      <w:r w:rsidRPr="00347535">
        <w:rPr>
          <w:rFonts w:cs="Times New Roman"/>
          <w:bCs/>
          <w:i w:val="0"/>
          <w:color w:val="000000" w:themeColor="text1"/>
          <w:sz w:val="22"/>
          <w:szCs w:val="22"/>
        </w:rPr>
        <w:t>.</w:t>
      </w:r>
      <w:r w:rsidRPr="00347535">
        <w:rPr>
          <w:rFonts w:cs="Times New Roman"/>
          <w:i w:val="0"/>
          <w:color w:val="000000" w:themeColor="text1"/>
          <w:sz w:val="22"/>
          <w:szCs w:val="22"/>
        </w:rPr>
        <w:t xml:space="preserve"> Response of the CO</w:t>
      </w:r>
      <w:r w:rsidRPr="00347535">
        <w:rPr>
          <w:rFonts w:cs="Times New Roman"/>
          <w:i w:val="0"/>
          <w:color w:val="000000" w:themeColor="text1"/>
          <w:sz w:val="22"/>
          <w:szCs w:val="22"/>
          <w:vertAlign w:val="subscript"/>
        </w:rPr>
        <w:t>2</w:t>
      </w:r>
      <w:r w:rsidRPr="00347535">
        <w:rPr>
          <w:rFonts w:cs="Times New Roman"/>
          <w:i w:val="0"/>
          <w:color w:val="000000" w:themeColor="text1"/>
          <w:sz w:val="22"/>
          <w:szCs w:val="22"/>
        </w:rPr>
        <w:t xml:space="preserve"> assimilation rate (</w:t>
      </w:r>
      <w:r w:rsidRPr="00347535">
        <w:rPr>
          <w:rFonts w:cs="Times New Roman"/>
          <w:color w:val="000000" w:themeColor="text1"/>
          <w:sz w:val="22"/>
          <w:szCs w:val="22"/>
        </w:rPr>
        <w:t>P</w:t>
      </w:r>
      <w:r w:rsidRPr="00347535">
        <w:rPr>
          <w:rFonts w:cs="Times New Roman"/>
          <w:i w:val="0"/>
          <w:iCs w:val="0"/>
          <w:color w:val="000000" w:themeColor="text1"/>
          <w:sz w:val="22"/>
          <w:szCs w:val="22"/>
          <w:vertAlign w:val="subscript"/>
        </w:rPr>
        <w:t>N</w:t>
      </w:r>
      <w:r w:rsidRPr="00347535">
        <w:rPr>
          <w:rFonts w:cs="Times New Roman"/>
          <w:i w:val="0"/>
          <w:color w:val="000000" w:themeColor="text1"/>
          <w:sz w:val="22"/>
          <w:szCs w:val="22"/>
        </w:rPr>
        <w:t>) to increasing intercellular CO</w:t>
      </w:r>
      <w:r w:rsidRPr="00347535">
        <w:rPr>
          <w:rFonts w:cs="Times New Roman"/>
          <w:i w:val="0"/>
          <w:color w:val="000000" w:themeColor="text1"/>
          <w:sz w:val="22"/>
          <w:szCs w:val="22"/>
          <w:vertAlign w:val="subscript"/>
        </w:rPr>
        <w:t>2</w:t>
      </w:r>
      <w:r w:rsidRPr="00347535">
        <w:rPr>
          <w:rFonts w:cs="Times New Roman"/>
          <w:i w:val="0"/>
          <w:color w:val="000000" w:themeColor="text1"/>
          <w:sz w:val="22"/>
          <w:szCs w:val="22"/>
        </w:rPr>
        <w:t xml:space="preserve"> concentration (</w:t>
      </w:r>
      <w:r w:rsidRPr="00347535">
        <w:rPr>
          <w:rFonts w:cs="Times New Roman"/>
          <w:iCs w:val="0"/>
          <w:color w:val="000000" w:themeColor="text1"/>
          <w:sz w:val="22"/>
          <w:szCs w:val="22"/>
        </w:rPr>
        <w:t>C</w:t>
      </w:r>
      <w:r w:rsidRPr="00347535">
        <w:rPr>
          <w:rFonts w:cs="Times New Roman"/>
          <w:i w:val="0"/>
          <w:iCs w:val="0"/>
          <w:color w:val="000000" w:themeColor="text1"/>
          <w:sz w:val="22"/>
          <w:szCs w:val="22"/>
          <w:vertAlign w:val="subscript"/>
        </w:rPr>
        <w:t>i</w:t>
      </w:r>
      <w:r w:rsidRPr="00347535">
        <w:rPr>
          <w:rFonts w:cs="Times New Roman"/>
          <w:i w:val="0"/>
          <w:color w:val="000000" w:themeColor="text1"/>
          <w:sz w:val="22"/>
          <w:szCs w:val="22"/>
        </w:rPr>
        <w:t>) (</w:t>
      </w:r>
      <w:r w:rsidRPr="00347535">
        <w:rPr>
          <w:rFonts w:cs="Times New Roman"/>
          <w:color w:val="000000" w:themeColor="text1"/>
          <w:sz w:val="22"/>
          <w:szCs w:val="22"/>
        </w:rPr>
        <w:t>P</w:t>
      </w:r>
      <w:r w:rsidRPr="00347535">
        <w:rPr>
          <w:rFonts w:cs="Times New Roman"/>
          <w:i w:val="0"/>
          <w:iCs w:val="0"/>
          <w:color w:val="000000" w:themeColor="text1"/>
          <w:sz w:val="22"/>
          <w:szCs w:val="22"/>
          <w:vertAlign w:val="subscript"/>
        </w:rPr>
        <w:t>N</w:t>
      </w:r>
      <w:r w:rsidRPr="00347535">
        <w:rPr>
          <w:rFonts w:cs="Times New Roman"/>
          <w:i w:val="0"/>
          <w:color w:val="000000" w:themeColor="text1"/>
          <w:sz w:val="22"/>
          <w:szCs w:val="22"/>
        </w:rPr>
        <w:t>/</w:t>
      </w:r>
      <w:r w:rsidRPr="00347535">
        <w:rPr>
          <w:rFonts w:cs="Times New Roman"/>
          <w:color w:val="000000" w:themeColor="text1"/>
          <w:sz w:val="22"/>
          <w:szCs w:val="22"/>
        </w:rPr>
        <w:t>C</w:t>
      </w:r>
      <w:r w:rsidRPr="00347535">
        <w:rPr>
          <w:rFonts w:cs="Times New Roman"/>
          <w:i w:val="0"/>
          <w:color w:val="000000" w:themeColor="text1"/>
          <w:sz w:val="22"/>
          <w:szCs w:val="22"/>
          <w:vertAlign w:val="subscript"/>
        </w:rPr>
        <w:t>i</w:t>
      </w:r>
      <w:r w:rsidR="00347535">
        <w:rPr>
          <w:rFonts w:cs="Times New Roman"/>
          <w:i w:val="0"/>
          <w:color w:val="000000" w:themeColor="text1"/>
          <w:sz w:val="22"/>
          <w:szCs w:val="22"/>
        </w:rPr>
        <w:t xml:space="preserve"> c</w:t>
      </w:r>
      <w:r w:rsidRPr="00347535">
        <w:rPr>
          <w:rFonts w:cs="Times New Roman"/>
          <w:i w:val="0"/>
          <w:color w:val="000000" w:themeColor="text1"/>
          <w:sz w:val="22"/>
          <w:szCs w:val="22"/>
        </w:rPr>
        <w:t xml:space="preserve">urve) in the lettuce after 19 d (early head-formation, GS2) of control and salt treatments. </w:t>
      </w:r>
      <w:r w:rsidRPr="00347535">
        <w:rPr>
          <w:rFonts w:cs="Times New Roman"/>
          <w:color w:val="000000" w:themeColor="text1"/>
          <w:sz w:val="22"/>
          <w:szCs w:val="22"/>
        </w:rPr>
        <w:t>The vertical bars</w:t>
      </w:r>
      <w:r w:rsidRPr="00347535">
        <w:rPr>
          <w:rFonts w:cs="Times New Roman"/>
          <w:i w:val="0"/>
          <w:color w:val="000000" w:themeColor="text1"/>
          <w:sz w:val="22"/>
          <w:szCs w:val="22"/>
        </w:rPr>
        <w:t xml:space="preserve"> represent the standard error of the mean (</w:t>
      </w:r>
      <w:r w:rsidRPr="00347535">
        <w:rPr>
          <w:rFonts w:cs="Times New Roman"/>
          <w:iCs w:val="0"/>
          <w:color w:val="000000" w:themeColor="text1"/>
          <w:sz w:val="22"/>
          <w:szCs w:val="22"/>
        </w:rPr>
        <w:t>n</w:t>
      </w:r>
      <w:r w:rsidRPr="00347535">
        <w:rPr>
          <w:rFonts w:cs="Times New Roman"/>
          <w:i w:val="0"/>
          <w:color w:val="000000" w:themeColor="text1"/>
          <w:sz w:val="22"/>
          <w:szCs w:val="22"/>
        </w:rPr>
        <w:t> = 4).</w:t>
      </w:r>
    </w:p>
    <w:p w:rsidR="007974B2" w:rsidRPr="00347535" w:rsidRDefault="007974B2" w:rsidP="00347535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</w:rPr>
      </w:pPr>
      <w:r w:rsidRPr="00347535">
        <w:rPr>
          <w:rFonts w:ascii="Times New Roman" w:hAnsi="Times New Roman" w:cs="Times New Roman"/>
          <w:i/>
          <w:color w:val="000000" w:themeColor="text1"/>
        </w:rPr>
        <w:br w:type="page"/>
      </w:r>
    </w:p>
    <w:p w:rsidR="007974B2" w:rsidRDefault="007974B2" w:rsidP="00347535">
      <w:pPr>
        <w:pStyle w:val="Titulek"/>
        <w:keepNext/>
        <w:spacing w:after="0"/>
        <w:contextualSpacing/>
        <w:jc w:val="both"/>
        <w:rPr>
          <w:rFonts w:cs="Times New Roman"/>
          <w:i w:val="0"/>
          <w:iCs w:val="0"/>
          <w:color w:val="000000" w:themeColor="text1"/>
          <w:sz w:val="22"/>
          <w:szCs w:val="22"/>
        </w:rPr>
      </w:pPr>
      <w:r w:rsidRPr="00347535">
        <w:rPr>
          <w:rFonts w:cs="Times New Roman"/>
          <w:i w:val="0"/>
          <w:iCs w:val="0"/>
          <w:color w:val="000000" w:themeColor="text1"/>
          <w:sz w:val="22"/>
          <w:szCs w:val="22"/>
        </w:rPr>
        <w:lastRenderedPageBreak/>
        <w:t>Table 1S</w:t>
      </w:r>
      <w:r w:rsidRPr="00347535">
        <w:rPr>
          <w:rFonts w:cs="Times New Roman"/>
          <w:i w:val="0"/>
          <w:iCs w:val="0"/>
          <w:color w:val="000000" w:themeColor="text1"/>
          <w:sz w:val="22"/>
          <w:szCs w:val="22"/>
        </w:rPr>
        <w:t>.</w:t>
      </w:r>
      <w:r w:rsidRPr="00347535">
        <w:rPr>
          <w:rFonts w:cs="Times New Roman"/>
          <w:i w:val="0"/>
          <w:iCs w:val="0"/>
          <w:color w:val="000000" w:themeColor="text1"/>
          <w:sz w:val="22"/>
          <w:szCs w:val="22"/>
        </w:rPr>
        <w:t xml:space="preserve"> Environmental conditions in the greenhouse during transplantation (day 0), late-rosette stage (GS1), and early head-formation stage (GS2).</w:t>
      </w:r>
    </w:p>
    <w:p w:rsidR="00347535" w:rsidRPr="00347535" w:rsidRDefault="00347535" w:rsidP="0034753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1656"/>
        <w:gridCol w:w="1656"/>
        <w:gridCol w:w="1656"/>
      </w:tblGrid>
      <w:tr w:rsidR="007974B2" w:rsidRPr="00347535" w:rsidTr="00347535">
        <w:trPr>
          <w:trHeight w:val="339"/>
        </w:trPr>
        <w:tc>
          <w:tcPr>
            <w:tcW w:w="23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74B2" w:rsidRPr="00347535" w:rsidRDefault="007974B2" w:rsidP="0034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>Environmental conditions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74B2" w:rsidRPr="00347535" w:rsidRDefault="007974B2" w:rsidP="0034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Day 0 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74B2" w:rsidRPr="00347535" w:rsidRDefault="007974B2" w:rsidP="0034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>GS1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74B2" w:rsidRPr="00347535" w:rsidRDefault="007974B2" w:rsidP="0034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>GS2</w:t>
            </w:r>
          </w:p>
        </w:tc>
      </w:tr>
      <w:tr w:rsidR="007974B2" w:rsidRPr="00347535" w:rsidTr="00347535">
        <w:trPr>
          <w:trHeight w:val="400"/>
        </w:trPr>
        <w:tc>
          <w:tcPr>
            <w:tcW w:w="23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74B2" w:rsidRPr="00347535" w:rsidRDefault="007974B2" w:rsidP="0034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Photosynthetic photon flux density </w:t>
            </w:r>
            <w:r w:rsidR="00347535">
              <w:rPr>
                <w:rFonts w:ascii="Times New Roman" w:eastAsia="Times New Roman" w:hAnsi="Times New Roman" w:cs="Times New Roman"/>
                <w:color w:val="000000" w:themeColor="text1"/>
              </w:rPr>
              <w:t>[</w:t>
            </w: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>µmol m</w:t>
            </w:r>
            <w:r w:rsidR="00347535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–</w:t>
            </w:r>
            <w:r w:rsidRPr="00347535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</w:t>
            </w:r>
            <w:r w:rsidR="00347535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–</w:t>
            </w:r>
            <w:r w:rsidRPr="00347535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 w:rsidR="00347535">
              <w:rPr>
                <w:rFonts w:ascii="Times New Roman" w:eastAsia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74B2" w:rsidRPr="00347535" w:rsidRDefault="007974B2" w:rsidP="0034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>147.59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74B2" w:rsidRPr="00347535" w:rsidRDefault="007974B2" w:rsidP="0034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>130.79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74B2" w:rsidRPr="00347535" w:rsidRDefault="007974B2" w:rsidP="0034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>284.77</w:t>
            </w:r>
          </w:p>
        </w:tc>
      </w:tr>
      <w:tr w:rsidR="007974B2" w:rsidRPr="00347535" w:rsidTr="00347535">
        <w:trPr>
          <w:trHeight w:val="339"/>
        </w:trPr>
        <w:tc>
          <w:tcPr>
            <w:tcW w:w="23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74B2" w:rsidRPr="00347535" w:rsidRDefault="007974B2" w:rsidP="0034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Relative </w:t>
            </w:r>
            <w:r w:rsidR="00347535">
              <w:rPr>
                <w:rFonts w:ascii="Times New Roman" w:eastAsia="Times New Roman" w:hAnsi="Times New Roman" w:cs="Times New Roman"/>
                <w:color w:val="000000" w:themeColor="text1"/>
              </w:rPr>
              <w:t>h</w:t>
            </w: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umidity </w:t>
            </w:r>
            <w:r w:rsidR="00347535">
              <w:rPr>
                <w:rFonts w:ascii="Times New Roman" w:eastAsia="Times New Roman" w:hAnsi="Times New Roman" w:cs="Times New Roman"/>
                <w:color w:val="000000" w:themeColor="text1"/>
              </w:rPr>
              <w:t>[</w:t>
            </w: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  <w:r w:rsidR="00347535">
              <w:rPr>
                <w:rFonts w:ascii="Times New Roman" w:eastAsia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74B2" w:rsidRPr="00347535" w:rsidRDefault="007974B2" w:rsidP="0034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>65.33%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74B2" w:rsidRPr="00347535" w:rsidRDefault="007974B2" w:rsidP="0034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>68.21%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74B2" w:rsidRPr="00347535" w:rsidRDefault="007974B2" w:rsidP="0034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>71.45%</w:t>
            </w:r>
          </w:p>
        </w:tc>
      </w:tr>
      <w:tr w:rsidR="007974B2" w:rsidRPr="00347535" w:rsidTr="00347535">
        <w:trPr>
          <w:trHeight w:val="339"/>
        </w:trPr>
        <w:tc>
          <w:tcPr>
            <w:tcW w:w="23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74B2" w:rsidRPr="00347535" w:rsidRDefault="007974B2" w:rsidP="0034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Temperature </w:t>
            </w:r>
            <w:r w:rsidR="00347535">
              <w:rPr>
                <w:rFonts w:ascii="Times New Roman" w:eastAsia="Times New Roman" w:hAnsi="Times New Roman" w:cs="Times New Roman"/>
                <w:color w:val="000000" w:themeColor="text1"/>
              </w:rPr>
              <w:t>[</w:t>
            </w: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>℃</w:t>
            </w:r>
            <w:r w:rsidR="00347535">
              <w:rPr>
                <w:rFonts w:ascii="Times New Roman" w:eastAsia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74B2" w:rsidRPr="00347535" w:rsidRDefault="007974B2" w:rsidP="0034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>19.39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74B2" w:rsidRPr="00347535" w:rsidRDefault="007974B2" w:rsidP="0034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>19.95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74B2" w:rsidRPr="00347535" w:rsidRDefault="007974B2" w:rsidP="0034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7535">
              <w:rPr>
                <w:rFonts w:ascii="Times New Roman" w:eastAsia="Times New Roman" w:hAnsi="Times New Roman" w:cs="Times New Roman"/>
                <w:color w:val="000000" w:themeColor="text1"/>
              </w:rPr>
              <w:t>19.11</w:t>
            </w:r>
          </w:p>
        </w:tc>
      </w:tr>
    </w:tbl>
    <w:p w:rsidR="005654B7" w:rsidRPr="00347535" w:rsidRDefault="005654B7" w:rsidP="00347535">
      <w:pPr>
        <w:spacing w:after="0" w:line="240" w:lineRule="auto"/>
        <w:contextualSpacing/>
        <w:jc w:val="both"/>
      </w:pPr>
    </w:p>
    <w:sectPr w:rsidR="005654B7" w:rsidRPr="00347535" w:rsidSect="00032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B2"/>
    <w:rsid w:val="00347535"/>
    <w:rsid w:val="005654B7"/>
    <w:rsid w:val="0079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4CAC"/>
  <w15:chartTrackingRefBased/>
  <w15:docId w15:val="{233E88B1-8FD3-47DA-BD47-C152B668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74B2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7974B2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Spoustova Petra UEB</dc:creator>
  <cp:keywords/>
  <dc:description/>
  <cp:lastModifiedBy>Spoustova Petra UEB</cp:lastModifiedBy>
  <cp:revision>2</cp:revision>
  <dcterms:created xsi:type="dcterms:W3CDTF">2023-06-29T13:28:00Z</dcterms:created>
  <dcterms:modified xsi:type="dcterms:W3CDTF">2023-06-29T13:34:00Z</dcterms:modified>
</cp:coreProperties>
</file>