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CD0" w:rsidRPr="00846CD0" w:rsidRDefault="00846CD0" w:rsidP="00846CD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846CD0">
        <w:rPr>
          <w:rFonts w:ascii="Times New Roman" w:hAnsi="Times New Roman" w:cs="Times New Roman"/>
          <w:b/>
          <w:sz w:val="20"/>
          <w:szCs w:val="20"/>
          <w:lang w:val="en-GB"/>
        </w:rPr>
        <w:t>Supplementary materials</w:t>
      </w:r>
    </w:p>
    <w:p w:rsidR="00846CD0" w:rsidRPr="00846CD0" w:rsidRDefault="00846CD0" w:rsidP="00846C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846CD0" w:rsidRPr="00846CD0" w:rsidRDefault="00846CD0" w:rsidP="00846C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846CD0">
        <w:rPr>
          <w:rFonts w:ascii="Times New Roman" w:hAnsi="Times New Roman" w:cs="Times New Roman"/>
          <w:sz w:val="20"/>
          <w:szCs w:val="20"/>
          <w:lang w:val="en-GB"/>
        </w:rPr>
        <w:t xml:space="preserve">The equations used for the calculation of parameters used in this study (listed in </w:t>
      </w:r>
      <w:r>
        <w:rPr>
          <w:rFonts w:ascii="Times New Roman" w:hAnsi="Times New Roman" w:cs="Times New Roman"/>
          <w:sz w:val="20"/>
          <w:szCs w:val="20"/>
          <w:lang w:val="en-GB"/>
        </w:rPr>
        <w:t>the text table in “Materials and methods”</w:t>
      </w:r>
      <w:r w:rsidRPr="00846CD0">
        <w:rPr>
          <w:rFonts w:ascii="Times New Roman" w:hAnsi="Times New Roman" w:cs="Times New Roman"/>
          <w:sz w:val="20"/>
          <w:szCs w:val="20"/>
          <w:lang w:val="en-GB"/>
        </w:rPr>
        <w:t>):</w:t>
      </w:r>
    </w:p>
    <w:p w:rsidR="00846CD0" w:rsidRPr="00846CD0" w:rsidRDefault="00846CD0" w:rsidP="00846C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846CD0">
        <w:rPr>
          <w:rFonts w:ascii="Times New Roman" w:hAnsi="Times New Roman" w:cs="Times New Roman"/>
          <w:sz w:val="20"/>
          <w:szCs w:val="20"/>
          <w:lang w:val="en-GB"/>
        </w:rPr>
        <w:t>F</w:t>
      </w:r>
      <w:r w:rsidRPr="00846CD0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V</w:t>
      </w:r>
      <w:r w:rsidRPr="00846CD0">
        <w:rPr>
          <w:rFonts w:ascii="Times New Roman" w:hAnsi="Times New Roman" w:cs="Times New Roman"/>
          <w:sz w:val="20"/>
          <w:szCs w:val="20"/>
          <w:lang w:val="en-GB"/>
        </w:rPr>
        <w:t>/F</w:t>
      </w:r>
      <w:r w:rsidRPr="00846CD0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M</w:t>
      </w:r>
      <w:r w:rsidRPr="00846CD0">
        <w:rPr>
          <w:rFonts w:ascii="Times New Roman" w:hAnsi="Times New Roman" w:cs="Times New Roman"/>
          <w:sz w:val="20"/>
          <w:szCs w:val="20"/>
          <w:lang w:val="en-GB"/>
        </w:rPr>
        <w:t xml:space="preserve"> = (F</w:t>
      </w:r>
      <w:r w:rsidRPr="00846CD0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M</w:t>
      </w:r>
      <w:r w:rsidRPr="00846CD0">
        <w:rPr>
          <w:rFonts w:ascii="Times New Roman" w:hAnsi="Times New Roman" w:cs="Times New Roman"/>
          <w:sz w:val="20"/>
          <w:szCs w:val="20"/>
          <w:lang w:val="en-GB"/>
        </w:rPr>
        <w:t xml:space="preserve"> – F</w:t>
      </w:r>
      <w:r w:rsidRPr="00846CD0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0</w:t>
      </w:r>
      <w:r>
        <w:rPr>
          <w:rFonts w:ascii="Times New Roman" w:hAnsi="Times New Roman" w:cs="Times New Roman"/>
          <w:sz w:val="20"/>
          <w:szCs w:val="20"/>
          <w:lang w:val="en-GB"/>
        </w:rPr>
        <w:t>)</w:t>
      </w:r>
      <w:r w:rsidRPr="00846CD0">
        <w:rPr>
          <w:rFonts w:ascii="Times New Roman" w:hAnsi="Times New Roman" w:cs="Times New Roman"/>
          <w:sz w:val="20"/>
          <w:szCs w:val="20"/>
          <w:lang w:val="en-GB"/>
        </w:rPr>
        <w:t>/F</w:t>
      </w:r>
      <w:r w:rsidRPr="00846CD0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M</w:t>
      </w:r>
    </w:p>
    <w:p w:rsidR="00846CD0" w:rsidRPr="00846CD0" w:rsidRDefault="00846CD0" w:rsidP="00846C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846CD0">
        <w:rPr>
          <w:rFonts w:ascii="Times New Roman" w:hAnsi="Times New Roman" w:cs="Times New Roman"/>
          <w:sz w:val="20"/>
          <w:szCs w:val="20"/>
          <w:lang w:val="en-GB"/>
        </w:rPr>
        <w:t>Φ</w:t>
      </w:r>
      <w:r w:rsidRPr="00846CD0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PSII</w:t>
      </w:r>
      <w:r w:rsidRPr="00846CD0">
        <w:rPr>
          <w:rFonts w:ascii="Times New Roman" w:hAnsi="Times New Roman" w:cs="Times New Roman"/>
          <w:sz w:val="20"/>
          <w:szCs w:val="20"/>
          <w:lang w:val="en-GB"/>
        </w:rPr>
        <w:t xml:space="preserve"> = (F</w:t>
      </w:r>
      <w:r w:rsidRPr="00846CD0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M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ꞌ </w:t>
      </w:r>
      <w:r w:rsidRPr="00846CD0">
        <w:rPr>
          <w:rFonts w:ascii="Times New Roman" w:hAnsi="Times New Roman" w:cs="Times New Roman"/>
          <w:sz w:val="20"/>
          <w:szCs w:val="20"/>
          <w:lang w:val="en-GB"/>
        </w:rPr>
        <w:t>– F</w:t>
      </w:r>
      <w:r w:rsidRPr="00846CD0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S</w:t>
      </w:r>
      <w:r w:rsidRPr="00846CD0">
        <w:rPr>
          <w:rFonts w:ascii="Times New Roman" w:hAnsi="Times New Roman" w:cs="Times New Roman"/>
          <w:sz w:val="20"/>
          <w:szCs w:val="20"/>
          <w:lang w:val="en-GB"/>
        </w:rPr>
        <w:t>)/F</w:t>
      </w:r>
      <w:r w:rsidRPr="00846CD0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M</w:t>
      </w:r>
      <w:r>
        <w:rPr>
          <w:rFonts w:ascii="Times New Roman" w:hAnsi="Times New Roman" w:cs="Times New Roman"/>
          <w:sz w:val="20"/>
          <w:szCs w:val="20"/>
          <w:lang w:val="en-GB"/>
        </w:rPr>
        <w:t>ꞌ</w:t>
      </w:r>
    </w:p>
    <w:p w:rsidR="00846CD0" w:rsidRPr="00846CD0" w:rsidRDefault="00846CD0" w:rsidP="00846C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proofErr w:type="gramStart"/>
      <w:r w:rsidRPr="00846CD0">
        <w:rPr>
          <w:rFonts w:ascii="Times New Roman" w:hAnsi="Times New Roman" w:cs="Times New Roman"/>
          <w:sz w:val="20"/>
          <w:szCs w:val="20"/>
          <w:lang w:val="en-GB"/>
        </w:rPr>
        <w:t>RFd</w:t>
      </w:r>
      <w:proofErr w:type="spellEnd"/>
      <w:proofErr w:type="gramEnd"/>
      <w:r w:rsidRPr="00846CD0">
        <w:rPr>
          <w:rFonts w:ascii="Times New Roman" w:hAnsi="Times New Roman" w:cs="Times New Roman"/>
          <w:sz w:val="20"/>
          <w:szCs w:val="20"/>
          <w:lang w:val="en-GB"/>
        </w:rPr>
        <w:t xml:space="preserve"> = (F</w:t>
      </w:r>
      <w:r w:rsidRPr="00846CD0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P</w:t>
      </w:r>
      <w:r w:rsidRPr="00846CD0">
        <w:rPr>
          <w:rFonts w:ascii="Times New Roman" w:hAnsi="Times New Roman" w:cs="Times New Roman"/>
          <w:sz w:val="20"/>
          <w:szCs w:val="20"/>
          <w:lang w:val="en-GB"/>
        </w:rPr>
        <w:t xml:space="preserve"> – F</w:t>
      </w:r>
      <w:r w:rsidRPr="00846CD0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S</w:t>
      </w:r>
      <w:r w:rsidRPr="00846CD0">
        <w:rPr>
          <w:rFonts w:ascii="Times New Roman" w:hAnsi="Times New Roman" w:cs="Times New Roman"/>
          <w:sz w:val="20"/>
          <w:szCs w:val="20"/>
          <w:lang w:val="en-GB"/>
        </w:rPr>
        <w:t>)/F</w:t>
      </w:r>
      <w:r w:rsidRPr="00846CD0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S</w:t>
      </w:r>
    </w:p>
    <w:p w:rsidR="00846CD0" w:rsidRPr="00846CD0" w:rsidRDefault="00846CD0" w:rsidP="00846C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proofErr w:type="gramStart"/>
      <w:r w:rsidRPr="00846CD0">
        <w:rPr>
          <w:rFonts w:ascii="Times New Roman" w:hAnsi="Times New Roman" w:cs="Times New Roman"/>
          <w:sz w:val="20"/>
          <w:szCs w:val="20"/>
          <w:lang w:val="en-GB"/>
        </w:rPr>
        <w:t>q</w:t>
      </w:r>
      <w:r w:rsidRPr="00846CD0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L</w:t>
      </w:r>
      <w:proofErr w:type="spellEnd"/>
      <w:proofErr w:type="gramEnd"/>
      <w:r w:rsidRPr="00846CD0">
        <w:rPr>
          <w:rFonts w:ascii="Times New Roman" w:hAnsi="Times New Roman" w:cs="Times New Roman"/>
          <w:sz w:val="20"/>
          <w:szCs w:val="20"/>
          <w:lang w:val="en-GB"/>
        </w:rPr>
        <w:t xml:space="preserve"> = [(1/F</w:t>
      </w:r>
      <w:r w:rsidRPr="00846CD0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S</w:t>
      </w:r>
      <w:r w:rsidRPr="00846CD0">
        <w:rPr>
          <w:rFonts w:ascii="Times New Roman" w:hAnsi="Times New Roman" w:cs="Times New Roman"/>
          <w:sz w:val="20"/>
          <w:szCs w:val="20"/>
          <w:lang w:val="en-GB"/>
        </w:rPr>
        <w:t>) – (1/F</w:t>
      </w:r>
      <w:r w:rsidRPr="00846CD0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M</w:t>
      </w:r>
      <w:r>
        <w:rPr>
          <w:rFonts w:ascii="Times New Roman" w:hAnsi="Times New Roman" w:cs="Times New Roman"/>
          <w:sz w:val="20"/>
          <w:szCs w:val="20"/>
          <w:lang w:val="en-GB"/>
        </w:rPr>
        <w:t>ꞌ</w:t>
      </w:r>
      <w:r w:rsidRPr="00846CD0">
        <w:rPr>
          <w:rFonts w:ascii="Times New Roman" w:hAnsi="Times New Roman" w:cs="Times New Roman"/>
          <w:sz w:val="20"/>
          <w:szCs w:val="20"/>
          <w:lang w:val="en-GB"/>
        </w:rPr>
        <w:t>)]/[(1/F</w:t>
      </w:r>
      <w:r w:rsidRPr="00846CD0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0</w:t>
      </w:r>
      <w:r w:rsidRPr="00846CD0">
        <w:rPr>
          <w:rFonts w:ascii="Times New Roman" w:hAnsi="Times New Roman" w:cs="Times New Roman"/>
          <w:sz w:val="20"/>
          <w:szCs w:val="20"/>
          <w:lang w:val="en-GB"/>
        </w:rPr>
        <w:t>) – 1/F</w:t>
      </w:r>
      <w:r w:rsidRPr="00846CD0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M</w:t>
      </w:r>
      <w:r w:rsidRPr="00846CD0">
        <w:rPr>
          <w:rFonts w:ascii="Times New Roman" w:hAnsi="Times New Roman" w:cs="Times New Roman"/>
          <w:sz w:val="20"/>
          <w:szCs w:val="20"/>
          <w:lang w:val="en-GB"/>
        </w:rPr>
        <w:t>)]</w:t>
      </w:r>
    </w:p>
    <w:p w:rsidR="00846CD0" w:rsidRPr="00B07343" w:rsidRDefault="00846CD0" w:rsidP="00846C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846CD0">
        <w:rPr>
          <w:rFonts w:ascii="Times New Roman" w:hAnsi="Times New Roman" w:cs="Times New Roman"/>
          <w:sz w:val="20"/>
          <w:szCs w:val="20"/>
          <w:lang w:val="en-GB"/>
        </w:rPr>
        <w:t>NPQt</w:t>
      </w:r>
      <w:proofErr w:type="spellEnd"/>
      <w:r w:rsidRPr="00846CD0">
        <w:rPr>
          <w:rFonts w:ascii="Times New Roman" w:hAnsi="Times New Roman" w:cs="Times New Roman"/>
          <w:sz w:val="20"/>
          <w:szCs w:val="20"/>
          <w:lang w:val="en-GB"/>
        </w:rPr>
        <w:t xml:space="preserve"> = </w:t>
      </w:r>
      <w:r w:rsidR="00B07343">
        <w:rPr>
          <w:rFonts w:ascii="Times New Roman" w:hAnsi="Times New Roman" w:cs="Times New Roman"/>
          <w:sz w:val="20"/>
          <w:szCs w:val="20"/>
          <w:lang w:val="en-GB"/>
        </w:rPr>
        <w:t>[</w:t>
      </w:r>
      <w:r w:rsidRPr="00B07343">
        <w:rPr>
          <w:rFonts w:ascii="Times New Roman" w:hAnsi="Times New Roman" w:cs="Times New Roman"/>
          <w:sz w:val="20"/>
          <w:szCs w:val="20"/>
          <w:lang w:val="en-GB"/>
        </w:rPr>
        <w:t>4.88</w:t>
      </w:r>
      <w:proofErr w:type="gramStart"/>
      <w:r w:rsidRPr="00B07343">
        <w:rPr>
          <w:rFonts w:ascii="Times New Roman" w:hAnsi="Times New Roman" w:cs="Times New Roman"/>
          <w:sz w:val="20"/>
          <w:szCs w:val="20"/>
          <w:lang w:val="en-GB"/>
        </w:rPr>
        <w:t>/(</w:t>
      </w:r>
      <w:proofErr w:type="gramEnd"/>
      <w:r w:rsidRPr="00B07343">
        <w:rPr>
          <w:rFonts w:ascii="Times New Roman" w:hAnsi="Times New Roman" w:cs="Times New Roman"/>
          <w:sz w:val="20"/>
          <w:szCs w:val="20"/>
          <w:lang w:val="en-GB"/>
        </w:rPr>
        <w:t>(F</w:t>
      </w:r>
      <w:r w:rsidRPr="00B07343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M</w:t>
      </w:r>
      <w:r w:rsidRPr="00B07343">
        <w:rPr>
          <w:rFonts w:ascii="Times New Roman" w:hAnsi="Times New Roman" w:cs="Times New Roman"/>
          <w:sz w:val="20"/>
          <w:szCs w:val="20"/>
          <w:lang w:val="en-GB"/>
        </w:rPr>
        <w:t>ꞌ</w:t>
      </w:r>
      <w:r w:rsidRPr="00B07343">
        <w:rPr>
          <w:rFonts w:ascii="Times New Roman" w:hAnsi="Times New Roman" w:cs="Times New Roman"/>
          <w:sz w:val="20"/>
          <w:szCs w:val="20"/>
          <w:lang w:val="en-GB"/>
        </w:rPr>
        <w:t>/F</w:t>
      </w:r>
      <w:r w:rsidRPr="00B07343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0</w:t>
      </w:r>
      <w:r w:rsidRPr="00B07343">
        <w:rPr>
          <w:rFonts w:ascii="Times New Roman" w:hAnsi="Times New Roman" w:cs="Times New Roman"/>
          <w:sz w:val="20"/>
          <w:szCs w:val="20"/>
          <w:lang w:val="en-GB"/>
        </w:rPr>
        <w:t>ꞌ</w:t>
      </w:r>
      <w:r w:rsidRPr="00B07343">
        <w:rPr>
          <w:rFonts w:ascii="Times New Roman" w:hAnsi="Times New Roman" w:cs="Times New Roman"/>
          <w:sz w:val="20"/>
          <w:szCs w:val="20"/>
          <w:lang w:val="en-GB"/>
        </w:rPr>
        <w:t>) – 1)</w:t>
      </w:r>
      <w:r w:rsidR="00B07343">
        <w:rPr>
          <w:rFonts w:ascii="Times New Roman" w:hAnsi="Times New Roman" w:cs="Times New Roman"/>
          <w:sz w:val="20"/>
          <w:szCs w:val="20"/>
          <w:lang w:val="en-GB"/>
        </w:rPr>
        <w:t>]</w:t>
      </w:r>
      <w:r w:rsidRPr="00B07343">
        <w:rPr>
          <w:rFonts w:ascii="Times New Roman" w:hAnsi="Times New Roman" w:cs="Times New Roman"/>
          <w:sz w:val="20"/>
          <w:szCs w:val="20"/>
          <w:lang w:val="en-GB"/>
        </w:rPr>
        <w:t xml:space="preserve"> –1</w:t>
      </w:r>
    </w:p>
    <w:p w:rsidR="00846CD0" w:rsidRPr="00846CD0" w:rsidRDefault="00846CD0" w:rsidP="00846C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B07343">
        <w:rPr>
          <w:rFonts w:ascii="Times New Roman" w:hAnsi="Times New Roman" w:cs="Times New Roman"/>
          <w:sz w:val="20"/>
          <w:szCs w:val="20"/>
          <w:lang w:val="en-GB"/>
        </w:rPr>
        <w:t>q</w:t>
      </w:r>
      <w:r w:rsidRPr="00B07343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It</w:t>
      </w:r>
      <w:proofErr w:type="spellEnd"/>
      <w:r w:rsidRPr="00B07343">
        <w:rPr>
          <w:rFonts w:ascii="Times New Roman" w:hAnsi="Times New Roman" w:cs="Times New Roman"/>
          <w:sz w:val="20"/>
          <w:szCs w:val="20"/>
          <w:lang w:val="en-GB"/>
        </w:rPr>
        <w:t xml:space="preserve"> = </w:t>
      </w:r>
      <w:r w:rsidR="00B07343">
        <w:rPr>
          <w:rFonts w:ascii="Times New Roman" w:hAnsi="Times New Roman" w:cs="Times New Roman"/>
          <w:sz w:val="20"/>
          <w:szCs w:val="20"/>
          <w:lang w:val="en-GB"/>
        </w:rPr>
        <w:t>[</w:t>
      </w:r>
      <w:r w:rsidRPr="00B07343">
        <w:rPr>
          <w:rFonts w:ascii="Times New Roman" w:hAnsi="Times New Roman" w:cs="Times New Roman"/>
          <w:sz w:val="20"/>
          <w:szCs w:val="20"/>
          <w:lang w:val="en-GB"/>
        </w:rPr>
        <w:t>4.88/(</w:t>
      </w:r>
      <w:bookmarkStart w:id="0" w:name="_GoBack"/>
      <w:bookmarkEnd w:id="0"/>
      <w:r w:rsidRPr="00B07343">
        <w:rPr>
          <w:rFonts w:ascii="Times New Roman" w:hAnsi="Times New Roman" w:cs="Times New Roman"/>
          <w:sz w:val="20"/>
          <w:szCs w:val="20"/>
          <w:lang w:val="en-GB"/>
        </w:rPr>
        <w:t>(F</w:t>
      </w:r>
      <w:r w:rsidRPr="00B07343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M</w:t>
      </w:r>
      <w:r w:rsidRPr="00B07343">
        <w:rPr>
          <w:rFonts w:ascii="Times New Roman" w:hAnsi="Times New Roman" w:cs="Times New Roman"/>
          <w:sz w:val="20"/>
          <w:szCs w:val="20"/>
          <w:lang w:val="en-GB"/>
        </w:rPr>
        <w:t>ꞌꞌ</w:t>
      </w:r>
      <w:r w:rsidRPr="00B07343">
        <w:rPr>
          <w:rFonts w:ascii="Times New Roman" w:hAnsi="Times New Roman" w:cs="Times New Roman"/>
          <w:sz w:val="20"/>
          <w:szCs w:val="20"/>
          <w:lang w:val="en-GB"/>
        </w:rPr>
        <w:t>/F</w:t>
      </w:r>
      <w:r w:rsidRPr="00B07343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0</w:t>
      </w:r>
      <w:r w:rsidRPr="00B07343">
        <w:rPr>
          <w:rFonts w:ascii="Times New Roman" w:hAnsi="Times New Roman" w:cs="Times New Roman"/>
          <w:sz w:val="20"/>
          <w:szCs w:val="20"/>
          <w:lang w:val="en-GB"/>
        </w:rPr>
        <w:t>ꞌꞌ</w:t>
      </w:r>
      <w:r w:rsidRPr="00B07343">
        <w:rPr>
          <w:rFonts w:ascii="Times New Roman" w:hAnsi="Times New Roman" w:cs="Times New Roman"/>
          <w:sz w:val="20"/>
          <w:szCs w:val="20"/>
          <w:lang w:val="en-GB"/>
        </w:rPr>
        <w:t>) – 1)</w:t>
      </w:r>
      <w:r w:rsidR="00B07343">
        <w:rPr>
          <w:rFonts w:ascii="Times New Roman" w:hAnsi="Times New Roman" w:cs="Times New Roman"/>
          <w:sz w:val="20"/>
          <w:szCs w:val="20"/>
          <w:lang w:val="en-GB"/>
        </w:rPr>
        <w:t>]</w:t>
      </w:r>
      <w:r w:rsidRPr="00B07343">
        <w:rPr>
          <w:rFonts w:ascii="Times New Roman" w:hAnsi="Times New Roman" w:cs="Times New Roman"/>
          <w:sz w:val="20"/>
          <w:szCs w:val="20"/>
          <w:lang w:val="en-GB"/>
        </w:rPr>
        <w:t xml:space="preserve"> –1</w:t>
      </w:r>
    </w:p>
    <w:p w:rsidR="00846CD0" w:rsidRPr="00846CD0" w:rsidRDefault="00846CD0" w:rsidP="00846C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proofErr w:type="gramStart"/>
      <w:r w:rsidRPr="00846CD0">
        <w:rPr>
          <w:rFonts w:ascii="Times New Roman" w:hAnsi="Times New Roman" w:cs="Times New Roman"/>
          <w:sz w:val="20"/>
          <w:szCs w:val="20"/>
          <w:lang w:val="en-GB"/>
        </w:rPr>
        <w:t>q</w:t>
      </w:r>
      <w:r w:rsidRPr="00846CD0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Et</w:t>
      </w:r>
      <w:proofErr w:type="spellEnd"/>
      <w:proofErr w:type="gramEnd"/>
      <w:r w:rsidRPr="00846CD0">
        <w:rPr>
          <w:rFonts w:ascii="Times New Roman" w:hAnsi="Times New Roman" w:cs="Times New Roman"/>
          <w:sz w:val="20"/>
          <w:szCs w:val="20"/>
          <w:lang w:val="en-GB"/>
        </w:rPr>
        <w:t xml:space="preserve"> = </w:t>
      </w:r>
      <w:proofErr w:type="spellStart"/>
      <w:r w:rsidRPr="00846CD0">
        <w:rPr>
          <w:rFonts w:ascii="Times New Roman" w:hAnsi="Times New Roman" w:cs="Times New Roman"/>
          <w:sz w:val="20"/>
          <w:szCs w:val="20"/>
          <w:lang w:val="en-GB"/>
        </w:rPr>
        <w:t>NPQ</w:t>
      </w:r>
      <w:r w:rsidRPr="00846CD0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t</w:t>
      </w:r>
      <w:proofErr w:type="spellEnd"/>
      <w:r w:rsidRPr="00846CD0">
        <w:rPr>
          <w:rFonts w:ascii="Times New Roman" w:hAnsi="Times New Roman" w:cs="Times New Roman"/>
          <w:sz w:val="20"/>
          <w:szCs w:val="20"/>
          <w:lang w:val="en-GB"/>
        </w:rPr>
        <w:t xml:space="preserve"> – </w:t>
      </w:r>
      <w:proofErr w:type="spellStart"/>
      <w:r w:rsidRPr="00846CD0">
        <w:rPr>
          <w:rFonts w:ascii="Times New Roman" w:hAnsi="Times New Roman" w:cs="Times New Roman"/>
          <w:sz w:val="20"/>
          <w:szCs w:val="20"/>
          <w:lang w:val="en-GB"/>
        </w:rPr>
        <w:t>q</w:t>
      </w:r>
      <w:r w:rsidRPr="00846CD0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It</w:t>
      </w:r>
      <w:proofErr w:type="spellEnd"/>
    </w:p>
    <w:p w:rsidR="00846CD0" w:rsidRPr="00846CD0" w:rsidRDefault="00846CD0" w:rsidP="00846C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846CD0" w:rsidRPr="00846CD0" w:rsidRDefault="00846CD0" w:rsidP="00846C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846CD0">
        <w:rPr>
          <w:rFonts w:ascii="Times New Roman" w:hAnsi="Times New Roman" w:cs="Times New Roman"/>
          <w:sz w:val="20"/>
          <w:szCs w:val="20"/>
          <w:lang w:val="en-GB"/>
        </w:rPr>
        <w:t xml:space="preserve">List of parameters derived from the OJIP analysis </w:t>
      </w:r>
      <w:r w:rsidRPr="00846CD0">
        <w:rPr>
          <w:rFonts w:ascii="Times New Roman" w:hAnsi="Times New Roman" w:cs="Times New Roman"/>
          <w:noProof/>
          <w:color w:val="000000"/>
          <w:sz w:val="20"/>
          <w:szCs w:val="20"/>
          <w:lang w:val="en-GB"/>
        </w:rPr>
        <w:t xml:space="preserve">(Strasser </w:t>
      </w:r>
      <w:r w:rsidRPr="00846CD0">
        <w:rPr>
          <w:rFonts w:ascii="Times New Roman" w:hAnsi="Times New Roman" w:cs="Times New Roman"/>
          <w:i/>
          <w:noProof/>
          <w:color w:val="000000"/>
          <w:sz w:val="20"/>
          <w:szCs w:val="20"/>
          <w:lang w:val="en-GB"/>
        </w:rPr>
        <w:t>et al.</w:t>
      </w:r>
      <w:r w:rsidRPr="00846CD0">
        <w:rPr>
          <w:rFonts w:ascii="Times New Roman" w:hAnsi="Times New Roman" w:cs="Times New Roman"/>
          <w:noProof/>
          <w:color w:val="000000"/>
          <w:sz w:val="20"/>
          <w:szCs w:val="20"/>
          <w:lang w:val="en-GB"/>
        </w:rPr>
        <w:t xml:space="preserve"> 2004</w:t>
      </w:r>
      <w:r>
        <w:rPr>
          <w:rFonts w:ascii="Times New Roman" w:hAnsi="Times New Roman" w:cs="Times New Roman"/>
          <w:noProof/>
          <w:color w:val="000000"/>
          <w:sz w:val="20"/>
          <w:szCs w:val="20"/>
          <w:lang w:val="en-GB"/>
        </w:rPr>
        <w:t xml:space="preserve">, </w:t>
      </w:r>
      <w:r w:rsidRPr="00846CD0">
        <w:rPr>
          <w:rFonts w:ascii="Times New Roman" w:hAnsi="Times New Roman" w:cs="Times New Roman"/>
          <w:noProof/>
          <w:sz w:val="20"/>
          <w:szCs w:val="20"/>
          <w:lang w:val="en-GB"/>
        </w:rPr>
        <w:t xml:space="preserve">Bussotti </w:t>
      </w:r>
      <w:r w:rsidRPr="00846CD0">
        <w:rPr>
          <w:rFonts w:ascii="Times New Roman" w:hAnsi="Times New Roman" w:cs="Times New Roman"/>
          <w:i/>
          <w:noProof/>
          <w:sz w:val="20"/>
          <w:szCs w:val="20"/>
          <w:lang w:val="en-GB"/>
        </w:rPr>
        <w:t>et al.</w:t>
      </w:r>
      <w:r w:rsidRPr="00846CD0">
        <w:rPr>
          <w:rFonts w:ascii="Times New Roman" w:hAnsi="Times New Roman" w:cs="Times New Roman"/>
          <w:noProof/>
          <w:sz w:val="20"/>
          <w:szCs w:val="20"/>
          <w:lang w:val="en-GB"/>
        </w:rPr>
        <w:t xml:space="preserve"> 2012</w:t>
      </w:r>
      <w:r w:rsidRPr="00846CD0">
        <w:rPr>
          <w:rFonts w:ascii="Times New Roman" w:hAnsi="Times New Roman" w:cs="Times New Roman"/>
          <w:noProof/>
          <w:color w:val="000000"/>
          <w:sz w:val="20"/>
          <w:szCs w:val="20"/>
          <w:lang w:val="en-GB"/>
        </w:rPr>
        <w:t>)</w:t>
      </w:r>
      <w:r w:rsidRPr="00846CD0">
        <w:rPr>
          <w:rFonts w:ascii="Times New Roman" w:hAnsi="Times New Roman" w:cs="Times New Roman"/>
          <w:sz w:val="20"/>
          <w:szCs w:val="20"/>
          <w:lang w:val="en-GB"/>
        </w:rPr>
        <w:t>:</w:t>
      </w:r>
    </w:p>
    <w:p w:rsidR="00846CD0" w:rsidRPr="00846CD0" w:rsidRDefault="00846CD0" w:rsidP="00846CD0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0"/>
          <w:szCs w:val="20"/>
          <w:lang w:val="en-GB"/>
        </w:rPr>
      </w:pPr>
      <w:r w:rsidRPr="00846CD0">
        <w:rPr>
          <w:rFonts w:ascii="Times New Roman" w:hAnsi="Times New Roman" w:cs="Times New Roman"/>
          <w:noProof/>
          <w:sz w:val="20"/>
          <w:szCs w:val="20"/>
          <w:lang w:val="en-GB"/>
        </w:rPr>
        <w:t>Φ</w:t>
      </w:r>
      <w:r w:rsidRPr="00846CD0">
        <w:rPr>
          <w:rFonts w:ascii="Times New Roman" w:hAnsi="Times New Roman" w:cs="Times New Roman"/>
          <w:noProof/>
          <w:sz w:val="20"/>
          <w:szCs w:val="20"/>
          <w:vertAlign w:val="subscript"/>
          <w:lang w:val="en-GB"/>
        </w:rPr>
        <w:t>P</w:t>
      </w:r>
      <w:r w:rsidR="00B07343">
        <w:rPr>
          <w:rFonts w:ascii="Times New Roman" w:hAnsi="Times New Roman" w:cs="Times New Roman"/>
          <w:noProof/>
          <w:sz w:val="20"/>
          <w:szCs w:val="20"/>
          <w:vertAlign w:val="subscript"/>
          <w:lang w:val="en-GB"/>
        </w:rPr>
        <w:t>0</w:t>
      </w:r>
      <w:r w:rsidRPr="00846CD0">
        <w:rPr>
          <w:rFonts w:ascii="Times New Roman" w:hAnsi="Times New Roman" w:cs="Times New Roman"/>
          <w:noProof/>
          <w:sz w:val="20"/>
          <w:szCs w:val="20"/>
          <w:lang w:val="en-GB"/>
        </w:rPr>
        <w:t>: maximum quantum yield of primary photochemistry</w:t>
      </w:r>
    </w:p>
    <w:p w:rsidR="00846CD0" w:rsidRPr="00846CD0" w:rsidRDefault="00846CD0" w:rsidP="00846CD0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0"/>
          <w:szCs w:val="20"/>
          <w:lang w:val="en-GB"/>
        </w:rPr>
      </w:pPr>
      <w:r w:rsidRPr="00846CD0">
        <w:rPr>
          <w:rFonts w:ascii="Times New Roman" w:hAnsi="Times New Roman" w:cs="Times New Roman"/>
          <w:noProof/>
          <w:sz w:val="20"/>
          <w:szCs w:val="20"/>
          <w:lang w:val="en-GB"/>
        </w:rPr>
        <w:t>Ψ</w:t>
      </w:r>
      <w:r w:rsidR="00B07343">
        <w:rPr>
          <w:rFonts w:ascii="Times New Roman" w:hAnsi="Times New Roman" w:cs="Times New Roman"/>
          <w:noProof/>
          <w:sz w:val="20"/>
          <w:szCs w:val="20"/>
          <w:vertAlign w:val="subscript"/>
          <w:lang w:val="en-GB"/>
        </w:rPr>
        <w:t>0</w:t>
      </w:r>
      <w:r w:rsidRPr="00846CD0">
        <w:rPr>
          <w:rFonts w:ascii="Times New Roman" w:hAnsi="Times New Roman" w:cs="Times New Roman"/>
          <w:noProof/>
          <w:sz w:val="20"/>
          <w:szCs w:val="20"/>
          <w:lang w:val="en-GB"/>
        </w:rPr>
        <w:t>: probability that a trapped exciton moves an electron into the electron transport chain further than Q</w:t>
      </w:r>
      <w:r w:rsidRPr="00846CD0">
        <w:rPr>
          <w:rFonts w:ascii="Times New Roman" w:hAnsi="Times New Roman" w:cs="Times New Roman"/>
          <w:noProof/>
          <w:sz w:val="20"/>
          <w:szCs w:val="20"/>
          <w:vertAlign w:val="subscript"/>
          <w:lang w:val="en-GB"/>
        </w:rPr>
        <w:t>A</w:t>
      </w:r>
      <w:r>
        <w:rPr>
          <w:rFonts w:ascii="Times New Roman" w:hAnsi="Times New Roman" w:cs="Times New Roman"/>
          <w:noProof/>
          <w:sz w:val="20"/>
          <w:szCs w:val="20"/>
          <w:vertAlign w:val="superscript"/>
          <w:lang w:val="en-GB"/>
        </w:rPr>
        <w:t>–</w:t>
      </w:r>
      <w:r w:rsidRPr="00846CD0">
        <w:rPr>
          <w:rFonts w:ascii="Times New Roman" w:hAnsi="Times New Roman" w:cs="Times New Roman"/>
          <w:noProof/>
          <w:sz w:val="20"/>
          <w:szCs w:val="20"/>
          <w:lang w:val="en-GB"/>
        </w:rPr>
        <w:t xml:space="preserve"> </w:t>
      </w:r>
    </w:p>
    <w:p w:rsidR="00846CD0" w:rsidRPr="00846CD0" w:rsidRDefault="00846CD0" w:rsidP="00846CD0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0"/>
          <w:szCs w:val="20"/>
          <w:lang w:val="en-GB"/>
        </w:rPr>
      </w:pPr>
      <w:r w:rsidRPr="00846CD0">
        <w:rPr>
          <w:rFonts w:ascii="Times New Roman" w:hAnsi="Times New Roman" w:cs="Times New Roman"/>
          <w:noProof/>
          <w:sz w:val="20"/>
          <w:szCs w:val="20"/>
          <w:lang w:val="en-GB"/>
        </w:rPr>
        <w:t>Φ</w:t>
      </w:r>
      <w:r w:rsidRPr="00846CD0">
        <w:rPr>
          <w:rFonts w:ascii="Times New Roman" w:hAnsi="Times New Roman" w:cs="Times New Roman"/>
          <w:noProof/>
          <w:sz w:val="20"/>
          <w:szCs w:val="20"/>
          <w:vertAlign w:val="subscript"/>
          <w:lang w:val="en-GB"/>
        </w:rPr>
        <w:t>E</w:t>
      </w:r>
      <w:r w:rsidR="00B07343">
        <w:rPr>
          <w:rFonts w:ascii="Times New Roman" w:hAnsi="Times New Roman" w:cs="Times New Roman"/>
          <w:noProof/>
          <w:sz w:val="20"/>
          <w:szCs w:val="20"/>
          <w:vertAlign w:val="subscript"/>
          <w:lang w:val="en-GB"/>
        </w:rPr>
        <w:t>0</w:t>
      </w:r>
      <w:r w:rsidRPr="00846CD0">
        <w:rPr>
          <w:rFonts w:ascii="Times New Roman" w:hAnsi="Times New Roman" w:cs="Times New Roman"/>
          <w:noProof/>
          <w:sz w:val="20"/>
          <w:szCs w:val="20"/>
          <w:lang w:val="en-GB"/>
        </w:rPr>
        <w:t>: the maximum yield of electron transport</w:t>
      </w:r>
    </w:p>
    <w:p w:rsidR="00846CD0" w:rsidRPr="00846CD0" w:rsidRDefault="00846CD0" w:rsidP="00846CD0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0"/>
          <w:szCs w:val="20"/>
          <w:lang w:val="en-GB"/>
        </w:rPr>
      </w:pPr>
      <w:r w:rsidRPr="00846CD0">
        <w:rPr>
          <w:rFonts w:ascii="Times New Roman" w:hAnsi="Times New Roman" w:cs="Times New Roman"/>
          <w:noProof/>
          <w:sz w:val="20"/>
          <w:szCs w:val="20"/>
          <w:lang w:val="en-GB"/>
        </w:rPr>
        <w:t>Φ</w:t>
      </w:r>
      <w:r w:rsidRPr="00846CD0">
        <w:rPr>
          <w:rFonts w:ascii="Times New Roman" w:hAnsi="Times New Roman" w:cs="Times New Roman"/>
          <w:noProof/>
          <w:sz w:val="20"/>
          <w:szCs w:val="20"/>
          <w:vertAlign w:val="subscript"/>
          <w:lang w:val="en-GB"/>
        </w:rPr>
        <w:t>Do</w:t>
      </w:r>
      <w:r w:rsidRPr="00846CD0">
        <w:rPr>
          <w:rFonts w:ascii="Times New Roman" w:hAnsi="Times New Roman" w:cs="Times New Roman"/>
          <w:noProof/>
          <w:sz w:val="20"/>
          <w:szCs w:val="20"/>
          <w:lang w:val="en-GB"/>
        </w:rPr>
        <w:t>: fraction of dissipated energy</w:t>
      </w:r>
    </w:p>
    <w:p w:rsidR="00846CD0" w:rsidRPr="00846CD0" w:rsidRDefault="00846CD0" w:rsidP="00846CD0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0"/>
          <w:szCs w:val="20"/>
          <w:lang w:val="en-GB"/>
        </w:rPr>
      </w:pPr>
      <w:r w:rsidRPr="00846CD0">
        <w:rPr>
          <w:rFonts w:ascii="Times New Roman" w:hAnsi="Times New Roman" w:cs="Times New Roman"/>
          <w:noProof/>
          <w:sz w:val="20"/>
          <w:szCs w:val="20"/>
          <w:lang w:val="en-GB"/>
        </w:rPr>
        <w:t>Φ</w:t>
      </w:r>
      <w:r w:rsidRPr="00846CD0">
        <w:rPr>
          <w:rFonts w:ascii="Times New Roman" w:hAnsi="Times New Roman" w:cs="Times New Roman"/>
          <w:noProof/>
          <w:sz w:val="20"/>
          <w:szCs w:val="20"/>
          <w:vertAlign w:val="subscript"/>
          <w:lang w:val="en-GB"/>
        </w:rPr>
        <w:t>Pav</w:t>
      </w:r>
      <w:r w:rsidRPr="00846CD0">
        <w:rPr>
          <w:rFonts w:ascii="Times New Roman" w:hAnsi="Times New Roman" w:cs="Times New Roman"/>
          <w:noProof/>
          <w:sz w:val="20"/>
          <w:szCs w:val="20"/>
          <w:lang w:val="en-GB"/>
        </w:rPr>
        <w:t>: average efficiency of electron transport</w:t>
      </w:r>
    </w:p>
    <w:p w:rsidR="00846CD0" w:rsidRPr="00846CD0" w:rsidRDefault="00846CD0" w:rsidP="00846CD0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0"/>
          <w:szCs w:val="20"/>
          <w:lang w:val="en-GB"/>
        </w:rPr>
      </w:pPr>
      <w:r w:rsidRPr="00846CD0">
        <w:rPr>
          <w:rFonts w:ascii="Times New Roman" w:hAnsi="Times New Roman" w:cs="Times New Roman"/>
          <w:noProof/>
          <w:sz w:val="20"/>
          <w:szCs w:val="20"/>
          <w:lang w:val="en-GB"/>
        </w:rPr>
        <w:t>PI</w:t>
      </w:r>
      <w:r w:rsidRPr="00846CD0">
        <w:rPr>
          <w:rFonts w:ascii="Times New Roman" w:hAnsi="Times New Roman" w:cs="Times New Roman"/>
          <w:noProof/>
          <w:sz w:val="20"/>
          <w:szCs w:val="20"/>
          <w:vertAlign w:val="subscript"/>
          <w:lang w:val="en-GB"/>
        </w:rPr>
        <w:t>ABS</w:t>
      </w:r>
      <w:r w:rsidRPr="00846CD0">
        <w:rPr>
          <w:rFonts w:ascii="Times New Roman" w:hAnsi="Times New Roman" w:cs="Times New Roman"/>
          <w:noProof/>
          <w:sz w:val="20"/>
          <w:szCs w:val="20"/>
          <w:lang w:val="en-GB"/>
        </w:rPr>
        <w:t>: performance index on absorbed energy</w:t>
      </w:r>
    </w:p>
    <w:p w:rsidR="00846CD0" w:rsidRPr="00846CD0" w:rsidRDefault="00846CD0" w:rsidP="00846CD0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0"/>
          <w:szCs w:val="20"/>
          <w:lang w:val="en-GB"/>
        </w:rPr>
      </w:pPr>
      <w:r w:rsidRPr="00846CD0">
        <w:rPr>
          <w:rFonts w:ascii="Times New Roman" w:hAnsi="Times New Roman" w:cs="Times New Roman"/>
          <w:noProof/>
          <w:sz w:val="20"/>
          <w:szCs w:val="20"/>
          <w:lang w:val="en-GB"/>
        </w:rPr>
        <w:t>F</w:t>
      </w:r>
      <w:r w:rsidRPr="00846CD0">
        <w:rPr>
          <w:rFonts w:ascii="Times New Roman" w:hAnsi="Times New Roman" w:cs="Times New Roman"/>
          <w:noProof/>
          <w:sz w:val="20"/>
          <w:szCs w:val="20"/>
          <w:vertAlign w:val="subscript"/>
          <w:lang w:val="en-GB"/>
        </w:rPr>
        <w:t>V</w:t>
      </w:r>
      <w:r w:rsidRPr="00846CD0">
        <w:rPr>
          <w:rFonts w:ascii="Times New Roman" w:hAnsi="Times New Roman" w:cs="Times New Roman"/>
          <w:noProof/>
          <w:sz w:val="20"/>
          <w:szCs w:val="20"/>
          <w:lang w:val="en-GB"/>
        </w:rPr>
        <w:t>/F</w:t>
      </w:r>
      <w:r w:rsidRPr="00846CD0">
        <w:rPr>
          <w:rFonts w:ascii="Times New Roman" w:hAnsi="Times New Roman" w:cs="Times New Roman"/>
          <w:noProof/>
          <w:sz w:val="20"/>
          <w:szCs w:val="20"/>
          <w:vertAlign w:val="subscript"/>
          <w:lang w:val="en-GB"/>
        </w:rPr>
        <w:t>0</w:t>
      </w:r>
      <w:r>
        <w:rPr>
          <w:rFonts w:ascii="Times New Roman" w:hAnsi="Times New Roman" w:cs="Times New Roman"/>
          <w:noProof/>
          <w:sz w:val="20"/>
          <w:szCs w:val="20"/>
          <w:lang w:val="en-GB"/>
        </w:rPr>
        <w:t>: maximum efficiency of water-</w:t>
      </w:r>
      <w:r w:rsidRPr="00846CD0">
        <w:rPr>
          <w:rFonts w:ascii="Times New Roman" w:hAnsi="Times New Roman" w:cs="Times New Roman"/>
          <w:noProof/>
          <w:sz w:val="20"/>
          <w:szCs w:val="20"/>
          <w:lang w:val="en-GB"/>
        </w:rPr>
        <w:t>splitting complex</w:t>
      </w:r>
    </w:p>
    <w:p w:rsidR="00846CD0" w:rsidRPr="00846CD0" w:rsidRDefault="00846CD0" w:rsidP="00846CD0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0"/>
          <w:szCs w:val="20"/>
          <w:lang w:val="en-GB"/>
        </w:rPr>
      </w:pPr>
    </w:p>
    <w:p w:rsidR="00846CD0" w:rsidRDefault="00846CD0" w:rsidP="00846CD0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0"/>
          <w:szCs w:val="20"/>
          <w:lang w:val="en-GB"/>
        </w:rPr>
      </w:pPr>
      <w:r w:rsidRPr="00846CD0">
        <w:rPr>
          <w:rFonts w:ascii="Times New Roman" w:hAnsi="Times New Roman" w:cs="Times New Roman"/>
          <w:bCs/>
          <w:noProof/>
          <w:sz w:val="20"/>
          <w:szCs w:val="20"/>
          <w:lang w:val="en-GB"/>
        </w:rPr>
        <w:t xml:space="preserve">Table 1S. </w:t>
      </w:r>
      <w:r w:rsidRPr="00846CD0">
        <w:rPr>
          <w:rFonts w:ascii="Times New Roman" w:hAnsi="Times New Roman" w:cs="Times New Roman"/>
          <w:i/>
          <w:iCs/>
          <w:noProof/>
          <w:sz w:val="20"/>
          <w:szCs w:val="20"/>
          <w:lang w:val="en-GB"/>
        </w:rPr>
        <w:t>ANOVA</w:t>
      </w:r>
      <w:r w:rsidRPr="00846CD0">
        <w:rPr>
          <w:rFonts w:ascii="Times New Roman" w:hAnsi="Times New Roman" w:cs="Times New Roman"/>
          <w:noProof/>
          <w:sz w:val="20"/>
          <w:szCs w:val="20"/>
          <w:lang w:val="en-GB"/>
        </w:rPr>
        <w:t xml:space="preserve"> and post hoc results for radar parameters</w:t>
      </w:r>
      <w:r>
        <w:rPr>
          <w:rFonts w:ascii="Times New Roman" w:hAnsi="Times New Roman" w:cs="Times New Roman"/>
          <w:noProof/>
          <w:sz w:val="20"/>
          <w:szCs w:val="20"/>
          <w:lang w:val="en-GB"/>
        </w:rPr>
        <w:t>.</w:t>
      </w:r>
    </w:p>
    <w:p w:rsidR="00846CD0" w:rsidRPr="00846CD0" w:rsidRDefault="00846CD0" w:rsidP="00846CD0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0"/>
          <w:szCs w:val="20"/>
          <w:lang w:val="en-GB"/>
        </w:rPr>
      </w:pPr>
    </w:p>
    <w:tbl>
      <w:tblPr>
        <w:tblStyle w:val="Prosttabulka2"/>
        <w:tblpPr w:leftFromText="141" w:rightFromText="141" w:vertAnchor="text" w:tblpY="1"/>
        <w:tblOverlap w:val="never"/>
        <w:tblW w:w="3717" w:type="dxa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143"/>
        <w:gridCol w:w="982"/>
        <w:gridCol w:w="1640"/>
      </w:tblGrid>
      <w:tr w:rsidR="00846CD0" w:rsidRPr="00846CD0" w:rsidTr="00846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noWrap/>
          </w:tcPr>
          <w:p w:rsidR="00846CD0" w:rsidRPr="00846CD0" w:rsidRDefault="00846CD0" w:rsidP="00846CD0">
            <w:pPr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Parameter</w:t>
            </w:r>
          </w:p>
        </w:tc>
        <w:tc>
          <w:tcPr>
            <w:tcW w:w="966" w:type="dxa"/>
            <w:noWrap/>
          </w:tcPr>
          <w:p w:rsidR="00846CD0" w:rsidRPr="00846CD0" w:rsidRDefault="00846CD0" w:rsidP="00846CD0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it-IT"/>
                <w14:ligatures w14:val="none"/>
              </w:rPr>
              <w:t>F</w:t>
            </w:r>
            <w:r w:rsidRPr="00846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-statistic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s</w:t>
            </w:r>
          </w:p>
        </w:tc>
        <w:tc>
          <w:tcPr>
            <w:tcW w:w="1624" w:type="dxa"/>
            <w:noWrap/>
          </w:tcPr>
          <w:p w:rsidR="00846CD0" w:rsidRPr="00846CD0" w:rsidRDefault="00846CD0" w:rsidP="00846CD0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  <w:r w:rsidRPr="00846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-value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noWrap/>
            <w:hideMark/>
          </w:tcPr>
          <w:p w:rsidR="00846CD0" w:rsidRPr="00846CD0" w:rsidRDefault="00846CD0" w:rsidP="00846CD0">
            <w:pPr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</w:t>
            </w:r>
            <w:r w:rsidRPr="00846CD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subscript"/>
                <w:lang w:eastAsia="it-IT"/>
                <w14:ligatures w14:val="none"/>
              </w:rPr>
              <w:t>v</w:t>
            </w:r>
            <w:r w:rsidRPr="00846CD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/F</w:t>
            </w:r>
            <w:r w:rsidRPr="00846CD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subscript"/>
                <w:lang w:eastAsia="it-IT"/>
                <w14:ligatures w14:val="none"/>
              </w:rPr>
              <w:t>m</w:t>
            </w:r>
          </w:p>
        </w:tc>
        <w:tc>
          <w:tcPr>
            <w:tcW w:w="966" w:type="dxa"/>
            <w:noWrap/>
            <w:hideMark/>
          </w:tcPr>
          <w:p w:rsidR="00846CD0" w:rsidRPr="00846CD0" w:rsidRDefault="00846CD0" w:rsidP="00846CD0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41.2691</w:t>
            </w:r>
          </w:p>
        </w:tc>
        <w:tc>
          <w:tcPr>
            <w:tcW w:w="1624" w:type="dxa"/>
            <w:noWrap/>
            <w:hideMark/>
          </w:tcPr>
          <w:p w:rsidR="00846CD0" w:rsidRPr="00846CD0" w:rsidRDefault="00846CD0" w:rsidP="00846CD0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1.2479E-09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noWrap/>
            <w:hideMark/>
          </w:tcPr>
          <w:p w:rsidR="00846CD0" w:rsidRPr="00846CD0" w:rsidRDefault="00846CD0" w:rsidP="00846CD0">
            <w:pPr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</w:t>
            </w:r>
            <w:r w:rsidRPr="00846CD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subscript"/>
                <w:lang w:eastAsia="it-IT"/>
                <w14:ligatures w14:val="none"/>
              </w:rPr>
              <w:t>v</w:t>
            </w:r>
            <w:r w:rsidRPr="00846CD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/F</w:t>
            </w:r>
            <w:r w:rsidRPr="00846CD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subscript"/>
                <w:lang w:eastAsia="it-IT"/>
                <w14:ligatures w14:val="none"/>
              </w:rPr>
              <w:t>o</w:t>
            </w:r>
          </w:p>
        </w:tc>
        <w:tc>
          <w:tcPr>
            <w:tcW w:w="966" w:type="dxa"/>
            <w:noWrap/>
            <w:hideMark/>
          </w:tcPr>
          <w:p w:rsidR="00846CD0" w:rsidRPr="00846CD0" w:rsidRDefault="00846CD0" w:rsidP="00846CD0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58.40236</w:t>
            </w:r>
          </w:p>
        </w:tc>
        <w:tc>
          <w:tcPr>
            <w:tcW w:w="1624" w:type="dxa"/>
            <w:noWrap/>
            <w:hideMark/>
          </w:tcPr>
          <w:p w:rsidR="00846CD0" w:rsidRPr="00846CD0" w:rsidRDefault="00846CD0" w:rsidP="00846CD0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3.5524E-11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noWrap/>
            <w:hideMark/>
          </w:tcPr>
          <w:p w:rsidR="00846CD0" w:rsidRPr="00846CD0" w:rsidRDefault="00846CD0" w:rsidP="00846CD0">
            <w:pPr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Pi_Abs</w:t>
            </w:r>
          </w:p>
        </w:tc>
        <w:tc>
          <w:tcPr>
            <w:tcW w:w="966" w:type="dxa"/>
            <w:noWrap/>
            <w:hideMark/>
          </w:tcPr>
          <w:p w:rsidR="00846CD0" w:rsidRPr="00846CD0" w:rsidRDefault="00846CD0" w:rsidP="00846CD0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15.56999</w:t>
            </w:r>
          </w:p>
        </w:tc>
        <w:tc>
          <w:tcPr>
            <w:tcW w:w="1624" w:type="dxa"/>
            <w:noWrap/>
            <w:hideMark/>
          </w:tcPr>
          <w:p w:rsidR="00846CD0" w:rsidRPr="00846CD0" w:rsidRDefault="00846CD0" w:rsidP="00846CD0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7.8043E-06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noWrap/>
            <w:hideMark/>
          </w:tcPr>
          <w:p w:rsidR="00846CD0" w:rsidRPr="00846CD0" w:rsidRDefault="00846CD0" w:rsidP="00846CD0">
            <w:pPr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Phi_P</w:t>
            </w:r>
            <w:r w:rsidRPr="00846CD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subscript"/>
                <w:lang w:eastAsia="it-IT"/>
                <w14:ligatures w14:val="none"/>
              </w:rPr>
              <w:t>o</w:t>
            </w:r>
          </w:p>
        </w:tc>
        <w:tc>
          <w:tcPr>
            <w:tcW w:w="966" w:type="dxa"/>
            <w:noWrap/>
            <w:hideMark/>
          </w:tcPr>
          <w:p w:rsidR="00846CD0" w:rsidRPr="00846CD0" w:rsidRDefault="00846CD0" w:rsidP="00846CD0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41.2691</w:t>
            </w:r>
          </w:p>
        </w:tc>
        <w:tc>
          <w:tcPr>
            <w:tcW w:w="1624" w:type="dxa"/>
            <w:noWrap/>
            <w:hideMark/>
          </w:tcPr>
          <w:p w:rsidR="00846CD0" w:rsidRPr="00846CD0" w:rsidRDefault="00846CD0" w:rsidP="00846CD0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1.2479E-09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noWrap/>
            <w:hideMark/>
          </w:tcPr>
          <w:p w:rsidR="00846CD0" w:rsidRPr="00846CD0" w:rsidRDefault="00846CD0" w:rsidP="00846CD0">
            <w:pPr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Psi_</w:t>
            </w:r>
            <w:r w:rsidRPr="00846CD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subscript"/>
                <w:lang w:eastAsia="it-IT"/>
                <w14:ligatures w14:val="none"/>
              </w:rPr>
              <w:t>o</w:t>
            </w:r>
          </w:p>
        </w:tc>
        <w:tc>
          <w:tcPr>
            <w:tcW w:w="966" w:type="dxa"/>
            <w:noWrap/>
            <w:hideMark/>
          </w:tcPr>
          <w:p w:rsidR="00846CD0" w:rsidRPr="00846CD0" w:rsidRDefault="00846CD0" w:rsidP="00846CD0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13.72141</w:t>
            </w:r>
          </w:p>
        </w:tc>
        <w:tc>
          <w:tcPr>
            <w:tcW w:w="1624" w:type="dxa"/>
            <w:noWrap/>
            <w:hideMark/>
          </w:tcPr>
          <w:p w:rsidR="00846CD0" w:rsidRPr="00846CD0" w:rsidRDefault="00846CD0" w:rsidP="00846CD0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2.0388E-05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noWrap/>
            <w:hideMark/>
          </w:tcPr>
          <w:p w:rsidR="00846CD0" w:rsidRPr="00846CD0" w:rsidRDefault="00846CD0" w:rsidP="00846CD0">
            <w:pPr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Phi_E</w:t>
            </w:r>
            <w:r w:rsidRPr="00846CD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subscript"/>
                <w:lang w:eastAsia="it-IT"/>
                <w14:ligatures w14:val="none"/>
              </w:rPr>
              <w:t>o</w:t>
            </w:r>
          </w:p>
        </w:tc>
        <w:tc>
          <w:tcPr>
            <w:tcW w:w="966" w:type="dxa"/>
            <w:noWrap/>
            <w:hideMark/>
          </w:tcPr>
          <w:p w:rsidR="00846CD0" w:rsidRPr="00846CD0" w:rsidRDefault="00846CD0" w:rsidP="00846CD0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19.92344</w:t>
            </w:r>
          </w:p>
        </w:tc>
        <w:tc>
          <w:tcPr>
            <w:tcW w:w="1624" w:type="dxa"/>
            <w:noWrap/>
            <w:hideMark/>
          </w:tcPr>
          <w:p w:rsidR="00846CD0" w:rsidRPr="00846CD0" w:rsidRDefault="00846CD0" w:rsidP="00846CD0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1.0567E-06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noWrap/>
            <w:hideMark/>
          </w:tcPr>
          <w:p w:rsidR="00846CD0" w:rsidRPr="00846CD0" w:rsidRDefault="00846CD0" w:rsidP="00846CD0">
            <w:pPr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Phi_D</w:t>
            </w:r>
            <w:r w:rsidRPr="00846CD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subscript"/>
                <w:lang w:eastAsia="it-IT"/>
                <w14:ligatures w14:val="none"/>
              </w:rPr>
              <w:t>o</w:t>
            </w:r>
          </w:p>
        </w:tc>
        <w:tc>
          <w:tcPr>
            <w:tcW w:w="966" w:type="dxa"/>
            <w:noWrap/>
            <w:hideMark/>
          </w:tcPr>
          <w:p w:rsidR="00846CD0" w:rsidRPr="00846CD0" w:rsidRDefault="00846CD0" w:rsidP="00846CD0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41.2691</w:t>
            </w:r>
          </w:p>
        </w:tc>
        <w:tc>
          <w:tcPr>
            <w:tcW w:w="1624" w:type="dxa"/>
            <w:noWrap/>
            <w:hideMark/>
          </w:tcPr>
          <w:p w:rsidR="00846CD0" w:rsidRPr="00846CD0" w:rsidRDefault="00846CD0" w:rsidP="00846CD0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1.2479E-09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noWrap/>
            <w:hideMark/>
          </w:tcPr>
          <w:p w:rsidR="00846CD0" w:rsidRPr="00846CD0" w:rsidRDefault="00846CD0" w:rsidP="00846CD0">
            <w:pPr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Phi_P</w:t>
            </w:r>
            <w:r w:rsidRPr="00846CD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subscript"/>
                <w:lang w:eastAsia="it-IT"/>
                <w14:ligatures w14:val="none"/>
              </w:rPr>
              <w:t>av</w:t>
            </w:r>
          </w:p>
        </w:tc>
        <w:tc>
          <w:tcPr>
            <w:tcW w:w="966" w:type="dxa"/>
            <w:noWrap/>
            <w:hideMark/>
          </w:tcPr>
          <w:p w:rsidR="00846CD0" w:rsidRPr="00846CD0" w:rsidRDefault="00846CD0" w:rsidP="00846CD0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17.01474</w:t>
            </w:r>
          </w:p>
        </w:tc>
        <w:tc>
          <w:tcPr>
            <w:tcW w:w="1624" w:type="dxa"/>
            <w:noWrap/>
            <w:hideMark/>
          </w:tcPr>
          <w:p w:rsidR="00846CD0" w:rsidRPr="00846CD0" w:rsidRDefault="00846CD0" w:rsidP="00846CD0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3.8722E-06</w:t>
            </w:r>
          </w:p>
        </w:tc>
      </w:tr>
    </w:tbl>
    <w:p w:rsidR="00846CD0" w:rsidRPr="00846CD0" w:rsidRDefault="00846CD0" w:rsidP="00846C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br w:type="textWrapping" w:clear="all"/>
      </w:r>
    </w:p>
    <w:tbl>
      <w:tblPr>
        <w:tblStyle w:val="Prosttabulka2"/>
        <w:tblW w:w="7698" w:type="dxa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880"/>
        <w:gridCol w:w="880"/>
        <w:gridCol w:w="1103"/>
        <w:gridCol w:w="791"/>
        <w:gridCol w:w="935"/>
        <w:gridCol w:w="935"/>
        <w:gridCol w:w="880"/>
        <w:gridCol w:w="1294"/>
      </w:tblGrid>
      <w:tr w:rsidR="00846CD0" w:rsidRPr="00846CD0" w:rsidTr="00846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group1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group2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meandiff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  <w:r w:rsidRPr="00846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adj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lower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upper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reject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  <w:r w:rsidRPr="00846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arameter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0.0208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0.6643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0.0706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0.0291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FALSE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Fv/Fm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0.0201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0.685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0.07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0.0297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FALSE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Fv/Fm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Cd50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0.2294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0.2904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0.1683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TRUE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Fv/Fm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0.0006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0.0492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0.0505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FALSE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Fv/Fm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Cd50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0.2086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0.2697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0.1476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TRUE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Fv/Fm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Cd50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0.2092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0.2703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0.1482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TRUE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Fv/Fm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0.4595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0.0439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0.9091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0.0099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TRUE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Fv/Fo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0.4504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0.0495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0.8999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0.0008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TRUE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Fv/Fo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Cd50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2.5631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3.1137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2.0125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TRUE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Fv/Fo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0.0091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0.9999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0.4404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0.4587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FALSE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Fv/Fo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Cd50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2.1036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2.6542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1.553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TRUE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Fv/Fo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Cd50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2.1128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2.6634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1.5621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TRUE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Fv/Fo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0.5176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0.0196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0.9664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0.0688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TRUE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Pi_Abs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0.3399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0.1852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0.7887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0.1089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FALSE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Pi_Abs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Cd50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1.3439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1.8935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0.7942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TRUE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Pi_Abs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0.1777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0.6973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0.271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0.6265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FALSE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Pi_Abs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Cd50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0.8262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0.0019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1.3759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0.2766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TRUE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Pi_Abs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Cd50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1.004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0.0002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1.5536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0.4544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TRUE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Pi_Abs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Cd0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0.0208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0.6643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0.0706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0.0291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FALSE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Phi_Po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0.0201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0.685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0.07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0.0297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FALSE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Phi_Po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Cd50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0.2294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0.2904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0.1683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TRUE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Phi_Po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0.0006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0.0492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0.0505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FALSE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Phi_Po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Cd50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0.2086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0.2697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0.1476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TRUE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Phi_Po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Cd50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0.2092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0.2703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0.1482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TRUE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Phi_Po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0.0689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0.2445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0.1676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0.0298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FALSE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Psi_o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0.024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0.9071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0.1227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0.0747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FALSE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Psi_o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Cd50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0.2671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0.388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0.1462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TRUE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Psi_o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0.0449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0.5997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0.0538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0.1436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FALSE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Psi_o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Cd50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0.1982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0.0008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0.3191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0.0774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TRUE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Psi_o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Cd50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0.2431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0.0001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0.364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0.1222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TRUE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Psi_o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0.064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0.1395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0.1426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0.0146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FALSE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Phi_Eo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0.0294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0.7332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0.108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0.0492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FALSE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Phi_Eo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Cd50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0.2588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0.355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0.1625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TRUE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Phi_Eo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0.0346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0.6234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0.044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0.1132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FALSE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Phi_Eo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Cd50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0.1947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0.0001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0.291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0.0985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TRUE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Phi_Eo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Cd50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0.2294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0.3256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0.1331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TRUE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Phi_Eo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0.0207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0.6643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0.0291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0.0706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FALSE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Phi_Do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0.0201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0.685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0.0297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0.07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FALSE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Phi_Do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Cd50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0.2294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0.1683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0.2904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TRUE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Phi_Do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0.0006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0.0505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0.0492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FALSE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Phi_Do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Cd50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0.2086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0.1476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0.2697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TRUE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Phi_Do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Cd50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0.2092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0.1482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0.2703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TRUE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Phi_Do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4.9319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0.5818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5.6671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15.5308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FALSE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Phi_Pav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2.5135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0.913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13.1124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8.0854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FALSE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Phi_Pav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Cd50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29.3044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16.3234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42.2854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TRUE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Phi_Pav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7.4454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0.2394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18.0443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3.1536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FALSE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Phi_Pav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Cd50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24.3725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0.0001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11.3915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37.3535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TRUE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Phi_Pav</w:t>
            </w:r>
          </w:p>
        </w:tc>
      </w:tr>
      <w:tr w:rsidR="00846CD0" w:rsidRPr="00846CD0" w:rsidTr="00846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Cd10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Cd50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31.8179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18.8369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44.7989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TRUE</w:t>
            </w:r>
          </w:p>
        </w:tc>
        <w:tc>
          <w:tcPr>
            <w:tcW w:w="0" w:type="dxa"/>
            <w:noWrap/>
            <w:hideMark/>
          </w:tcPr>
          <w:p w:rsidR="00846CD0" w:rsidRPr="00846CD0" w:rsidRDefault="00846CD0" w:rsidP="00846C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4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Phi_Pav</w:t>
            </w:r>
          </w:p>
        </w:tc>
      </w:tr>
    </w:tbl>
    <w:p w:rsidR="00846CD0" w:rsidRPr="00846CD0" w:rsidRDefault="00846CD0" w:rsidP="00846C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846CD0" w:rsidRPr="00846CD0" w:rsidRDefault="00846CD0" w:rsidP="00846C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846CD0" w:rsidRPr="00846CD0" w:rsidRDefault="00846CD0" w:rsidP="00846C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846CD0" w:rsidRPr="00846CD0" w:rsidRDefault="00846CD0" w:rsidP="00846C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846CD0" w:rsidRPr="00846CD0" w:rsidRDefault="00846CD0" w:rsidP="00846C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846CD0" w:rsidRPr="00846CD0" w:rsidRDefault="00846CD0" w:rsidP="00846C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846CD0" w:rsidRPr="00846CD0" w:rsidRDefault="00846CD0" w:rsidP="00846C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846CD0">
        <w:rPr>
          <w:rFonts w:ascii="Times New Roman" w:hAnsi="Times New Roman" w:cs="Times New Roman"/>
          <w:noProof/>
          <w:sz w:val="20"/>
          <w:szCs w:val="20"/>
          <w:lang w:val="cs-CZ" w:eastAsia="cs-CZ"/>
          <w14:ligatures w14:val="none"/>
        </w:rPr>
        <w:lastRenderedPageBreak/>
        <w:drawing>
          <wp:inline distT="0" distB="0" distL="0" distR="0">
            <wp:extent cx="4114800" cy="3765600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180 Fig_9SM_D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7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CD0" w:rsidRPr="00846CD0" w:rsidRDefault="00846CD0" w:rsidP="00846C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20339F" w:rsidRPr="00B07343" w:rsidRDefault="00846CD0" w:rsidP="00B07343">
      <w:pPr>
        <w:pStyle w:val="Titulek"/>
        <w:spacing w:after="0"/>
        <w:contextualSpacing/>
        <w:jc w:val="both"/>
        <w:rPr>
          <w:rFonts w:ascii="Times New Roman" w:hAnsi="Times New Roman" w:cs="Times New Roman"/>
          <w:noProof/>
          <w:color w:val="auto"/>
          <w:sz w:val="20"/>
          <w:szCs w:val="20"/>
          <w:lang w:val="en-GB"/>
        </w:rPr>
      </w:pPr>
      <w:r w:rsidRPr="00846CD0"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  <w:lang w:val="en-GB"/>
        </w:rPr>
        <w:t>Fig. 1S</w:t>
      </w:r>
      <w:r w:rsidRPr="00846CD0">
        <w:rPr>
          <w:rFonts w:ascii="Times New Roman" w:hAnsi="Times New Roman" w:cs="Times New Roman"/>
          <w:i w:val="0"/>
          <w:iCs w:val="0"/>
          <w:noProof/>
          <w:color w:val="auto"/>
          <w:sz w:val="20"/>
          <w:szCs w:val="20"/>
          <w:lang w:val="en-GB"/>
        </w:rPr>
        <w:t xml:space="preserve">. Radar plot showing parameters derived from the </w:t>
      </w:r>
      <w:r w:rsidR="00B07343">
        <w:rPr>
          <w:rFonts w:ascii="Times New Roman" w:hAnsi="Times New Roman" w:cs="Times New Roman"/>
          <w:i w:val="0"/>
          <w:iCs w:val="0"/>
          <w:noProof/>
          <w:color w:val="auto"/>
          <w:sz w:val="20"/>
          <w:szCs w:val="20"/>
          <w:lang w:val="en-GB"/>
        </w:rPr>
        <w:t>JIP-</w:t>
      </w:r>
      <w:r w:rsidRPr="00846CD0">
        <w:rPr>
          <w:rFonts w:ascii="Times New Roman" w:hAnsi="Times New Roman" w:cs="Times New Roman"/>
          <w:i w:val="0"/>
          <w:iCs w:val="0"/>
          <w:noProof/>
          <w:color w:val="auto"/>
          <w:sz w:val="20"/>
          <w:szCs w:val="20"/>
          <w:lang w:val="en-GB"/>
        </w:rPr>
        <w:t xml:space="preserve">test. Values are normalized to the control values (Cd0) and the x-axis </w:t>
      </w:r>
      <w:r w:rsidR="00B07343">
        <w:rPr>
          <w:rFonts w:ascii="Times New Roman" w:hAnsi="Times New Roman" w:cs="Times New Roman"/>
          <w:i w:val="0"/>
          <w:iCs w:val="0"/>
          <w:noProof/>
          <w:color w:val="auto"/>
          <w:sz w:val="20"/>
          <w:szCs w:val="20"/>
          <w:lang w:val="en-GB"/>
        </w:rPr>
        <w:t>is</w:t>
      </w:r>
      <w:r w:rsidRPr="00846CD0">
        <w:rPr>
          <w:rFonts w:ascii="Times New Roman" w:hAnsi="Times New Roman" w:cs="Times New Roman"/>
          <w:i w:val="0"/>
          <w:iCs w:val="0"/>
          <w:noProof/>
          <w:color w:val="auto"/>
          <w:sz w:val="20"/>
          <w:szCs w:val="20"/>
          <w:lang w:val="en-GB"/>
        </w:rPr>
        <w:t xml:space="preserve"> in logaritmic scale (base 2). Each parameter is described in Supplementary material </w:t>
      </w:r>
      <w:sdt>
        <w:sdtPr>
          <w:rPr>
            <w:rFonts w:ascii="Times New Roman" w:hAnsi="Times New Roman" w:cs="Times New Roman"/>
            <w:i w:val="0"/>
            <w:iCs w:val="0"/>
            <w:noProof/>
            <w:color w:val="000000"/>
            <w:sz w:val="20"/>
            <w:szCs w:val="20"/>
            <w:lang w:val="en-GB"/>
          </w:rPr>
          <w:tag w:val="MENDELEY_CITATION_v3_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"/>
          <w:id w:val="89598947"/>
          <w:placeholder>
            <w:docPart w:val="4DE8210604014D75A18073D2440308F1"/>
          </w:placeholder>
        </w:sdtPr>
        <w:sdtContent>
          <w:r w:rsidRPr="00846CD0">
            <w:rPr>
              <w:rFonts w:ascii="Times New Roman" w:hAnsi="Times New Roman" w:cs="Times New Roman"/>
              <w:i w:val="0"/>
              <w:iCs w:val="0"/>
              <w:noProof/>
              <w:color w:val="000000"/>
              <w:sz w:val="20"/>
              <w:szCs w:val="20"/>
              <w:lang w:val="en-GB"/>
            </w:rPr>
            <w:t>(</w:t>
          </w:r>
          <w:r w:rsidR="00B07343" w:rsidRPr="00846CD0">
            <w:rPr>
              <w:rFonts w:ascii="Times New Roman" w:hAnsi="Times New Roman" w:cs="Times New Roman"/>
              <w:i w:val="0"/>
              <w:iCs w:val="0"/>
              <w:noProof/>
              <w:color w:val="000000"/>
              <w:sz w:val="20"/>
              <w:szCs w:val="20"/>
              <w:lang w:val="en-GB"/>
            </w:rPr>
            <w:t xml:space="preserve">Strasser </w:t>
          </w:r>
          <w:r w:rsidR="00B07343" w:rsidRPr="00846CD0">
            <w:rPr>
              <w:rFonts w:ascii="Times New Roman" w:hAnsi="Times New Roman" w:cs="Times New Roman"/>
              <w:iCs w:val="0"/>
              <w:noProof/>
              <w:color w:val="000000"/>
              <w:sz w:val="20"/>
              <w:szCs w:val="20"/>
              <w:lang w:val="en-GB"/>
            </w:rPr>
            <w:t>et al.</w:t>
          </w:r>
          <w:r w:rsidR="00B07343" w:rsidRPr="00846CD0">
            <w:rPr>
              <w:rFonts w:ascii="Times New Roman" w:hAnsi="Times New Roman" w:cs="Times New Roman"/>
              <w:i w:val="0"/>
              <w:iCs w:val="0"/>
              <w:noProof/>
              <w:color w:val="000000"/>
              <w:sz w:val="20"/>
              <w:szCs w:val="20"/>
              <w:lang w:val="en-GB"/>
            </w:rPr>
            <w:t xml:space="preserve"> 2004</w:t>
          </w:r>
          <w:r w:rsidR="00B07343">
            <w:rPr>
              <w:rFonts w:ascii="Times New Roman" w:hAnsi="Times New Roman" w:cs="Times New Roman"/>
              <w:i w:val="0"/>
              <w:iCs w:val="0"/>
              <w:noProof/>
              <w:color w:val="000000"/>
              <w:sz w:val="20"/>
              <w:szCs w:val="20"/>
              <w:lang w:val="en-GB"/>
            </w:rPr>
            <w:t xml:space="preserve">, </w:t>
          </w:r>
          <w:r w:rsidRPr="00B07343">
            <w:rPr>
              <w:rFonts w:ascii="Times New Roman" w:hAnsi="Times New Roman" w:cs="Times New Roman"/>
              <w:i w:val="0"/>
              <w:iCs w:val="0"/>
              <w:noProof/>
              <w:color w:val="auto"/>
              <w:sz w:val="20"/>
              <w:szCs w:val="20"/>
              <w:lang w:val="en-GB"/>
            </w:rPr>
            <w:t xml:space="preserve">Bussotti </w:t>
          </w:r>
          <w:r w:rsidRPr="00B07343">
            <w:rPr>
              <w:rFonts w:ascii="Times New Roman" w:hAnsi="Times New Roman" w:cs="Times New Roman"/>
              <w:iCs w:val="0"/>
              <w:noProof/>
              <w:color w:val="auto"/>
              <w:sz w:val="20"/>
              <w:szCs w:val="20"/>
              <w:lang w:val="en-GB"/>
            </w:rPr>
            <w:t>e</w:t>
          </w:r>
          <w:r w:rsidRPr="00846CD0">
            <w:rPr>
              <w:rFonts w:ascii="Times New Roman" w:hAnsi="Times New Roman" w:cs="Times New Roman"/>
              <w:iCs w:val="0"/>
              <w:noProof/>
              <w:color w:val="000000"/>
              <w:sz w:val="20"/>
              <w:szCs w:val="20"/>
              <w:lang w:val="en-GB"/>
            </w:rPr>
            <w:t>t al.</w:t>
          </w:r>
          <w:r w:rsidR="00B07343">
            <w:rPr>
              <w:rFonts w:ascii="Times New Roman" w:hAnsi="Times New Roman" w:cs="Times New Roman"/>
              <w:i w:val="0"/>
              <w:iCs w:val="0"/>
              <w:noProof/>
              <w:color w:val="000000"/>
              <w:sz w:val="20"/>
              <w:szCs w:val="20"/>
              <w:lang w:val="en-GB"/>
            </w:rPr>
            <w:t xml:space="preserve"> 2012</w:t>
          </w:r>
          <w:r w:rsidRPr="00846CD0">
            <w:rPr>
              <w:rFonts w:ascii="Times New Roman" w:hAnsi="Times New Roman" w:cs="Times New Roman"/>
              <w:i w:val="0"/>
              <w:iCs w:val="0"/>
              <w:noProof/>
              <w:color w:val="000000"/>
              <w:sz w:val="20"/>
              <w:szCs w:val="20"/>
              <w:lang w:val="en-GB"/>
            </w:rPr>
            <w:t>)</w:t>
          </w:r>
        </w:sdtContent>
      </w:sdt>
      <w:r w:rsidRPr="00846CD0">
        <w:rPr>
          <w:rFonts w:ascii="Times New Roman" w:hAnsi="Times New Roman" w:cs="Times New Roman"/>
          <w:i w:val="0"/>
          <w:iCs w:val="0"/>
          <w:noProof/>
          <w:color w:val="000000"/>
          <w:sz w:val="20"/>
          <w:szCs w:val="20"/>
          <w:lang w:val="en-GB"/>
        </w:rPr>
        <w:t xml:space="preserve">, statistical analysis results are displayed in Supplementary material (Table </w:t>
      </w:r>
      <w:r w:rsidR="00B07343">
        <w:rPr>
          <w:rFonts w:ascii="Times New Roman" w:hAnsi="Times New Roman" w:cs="Times New Roman"/>
          <w:i w:val="0"/>
          <w:iCs w:val="0"/>
          <w:noProof/>
          <w:color w:val="000000"/>
          <w:sz w:val="20"/>
          <w:szCs w:val="20"/>
          <w:lang w:val="en-GB"/>
        </w:rPr>
        <w:t>1S</w:t>
      </w:r>
      <w:r w:rsidRPr="00846CD0">
        <w:rPr>
          <w:rFonts w:ascii="Times New Roman" w:hAnsi="Times New Roman" w:cs="Times New Roman"/>
          <w:i w:val="0"/>
          <w:iCs w:val="0"/>
          <w:noProof/>
          <w:color w:val="000000"/>
          <w:sz w:val="20"/>
          <w:szCs w:val="20"/>
          <w:lang w:val="en-GB"/>
        </w:rPr>
        <w:t>).</w:t>
      </w:r>
    </w:p>
    <w:sectPr w:rsidR="0020339F" w:rsidRPr="00B07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D0"/>
    <w:rsid w:val="0020339F"/>
    <w:rsid w:val="00846CD0"/>
    <w:rsid w:val="00B0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4EFD"/>
  <w15:chartTrackingRefBased/>
  <w15:docId w15:val="{ED3599C5-4F6D-4D4B-B634-3AC30468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6CD0"/>
    <w:rPr>
      <w:kern w:val="2"/>
      <w:lang w:val="it-IT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Prosttabulka2">
    <w:name w:val="Plain Table 2"/>
    <w:basedOn w:val="Normlntabulka"/>
    <w:uiPriority w:val="42"/>
    <w:rsid w:val="00846CD0"/>
    <w:pPr>
      <w:spacing w:after="0" w:line="240" w:lineRule="auto"/>
    </w:pPr>
    <w:rPr>
      <w:kern w:val="2"/>
      <w:lang w:val="it-IT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846CD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1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E8210604014D75A18073D2440308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5CD382-3D01-4C03-8CD1-4E3E4C4FD1B5}"/>
      </w:docPartPr>
      <w:docPartBody>
        <w:p w:rsidR="00000000" w:rsidRDefault="004D03A7" w:rsidP="004D03A7">
          <w:pPr>
            <w:pStyle w:val="4DE8210604014D75A18073D2440308F1"/>
          </w:pPr>
          <w:r w:rsidRPr="006B31F8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A7"/>
    <w:rsid w:val="004D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D03A7"/>
    <w:rPr>
      <w:color w:val="666666"/>
    </w:rPr>
  </w:style>
  <w:style w:type="paragraph" w:customStyle="1" w:styleId="4DE8210604014D75A18073D2440308F1">
    <w:name w:val="4DE8210604014D75A18073D2440308F1"/>
    <w:rsid w:val="004D03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571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Spoustova Petra UEB</dc:creator>
  <cp:keywords/>
  <dc:description/>
  <cp:lastModifiedBy>Spoustova Petra UEB</cp:lastModifiedBy>
  <cp:revision>1</cp:revision>
  <dcterms:created xsi:type="dcterms:W3CDTF">2025-07-03T11:54:00Z</dcterms:created>
  <dcterms:modified xsi:type="dcterms:W3CDTF">2025-07-03T12:24:00Z</dcterms:modified>
</cp:coreProperties>
</file>