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AD" w:rsidRPr="00D424AD" w:rsidRDefault="00D424AD" w:rsidP="00D424AD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3"/>
          <w:sz w:val="20"/>
          <w:lang w:val="en-US"/>
        </w:rPr>
      </w:pPr>
      <w:r w:rsidRPr="00D424AD">
        <w:rPr>
          <w:rFonts w:ascii="Times New Roman" w:hAnsi="Times New Roman"/>
          <w:color w:val="auto"/>
          <w:sz w:val="20"/>
        </w:rPr>
        <w:t>Table 1</w:t>
      </w:r>
      <w:bookmarkStart w:id="0" w:name="_Hlk199946270"/>
      <w:r w:rsidRPr="00D424AD">
        <w:rPr>
          <w:rFonts w:ascii="Times New Roman" w:hAnsi="Times New Roman"/>
          <w:color w:val="auto"/>
          <w:sz w:val="20"/>
        </w:rPr>
        <w:t>S</w:t>
      </w:r>
      <w:r w:rsidRPr="00D424AD">
        <w:rPr>
          <w:rFonts w:ascii="Times New Roman" w:hAnsi="Times New Roman"/>
          <w:color w:val="auto"/>
          <w:sz w:val="20"/>
        </w:rPr>
        <w:t xml:space="preserve">. </w:t>
      </w:r>
      <w:r w:rsidRPr="00D424AD">
        <w:rPr>
          <w:rFonts w:ascii="Times New Roman" w:hAnsi="Times New Roman"/>
          <w:sz w:val="20"/>
        </w:rPr>
        <w:t xml:space="preserve">Effects of changes in the red/far-red light on the fluorescence parameters calculated based on the chlorophyll fluorescence parameters of </w:t>
      </w:r>
      <w:proofErr w:type="gramStart"/>
      <w:r w:rsidRPr="00D424AD">
        <w:rPr>
          <w:rFonts w:ascii="Times New Roman" w:hAnsi="Times New Roman"/>
          <w:sz w:val="20"/>
        </w:rPr>
        <w:t>Y</w:t>
      </w:r>
      <w:r w:rsidRPr="00D424AD">
        <w:rPr>
          <w:rFonts w:ascii="Times New Roman" w:hAnsi="Times New Roman"/>
          <w:sz w:val="20"/>
          <w:vertAlign w:val="subscript"/>
        </w:rPr>
        <w:t>(</w:t>
      </w:r>
      <w:proofErr w:type="gramEnd"/>
      <w:r w:rsidRPr="00D424AD">
        <w:rPr>
          <w:rFonts w:ascii="Times New Roman" w:hAnsi="Times New Roman"/>
          <w:sz w:val="20"/>
          <w:vertAlign w:val="subscript"/>
        </w:rPr>
        <w:t>II)</w:t>
      </w:r>
      <w:r w:rsidRPr="00D424AD">
        <w:rPr>
          <w:rFonts w:ascii="Times New Roman" w:hAnsi="Times New Roman"/>
          <w:sz w:val="20"/>
        </w:rPr>
        <w:t xml:space="preserve"> and NPQ. Here, HIL is high-intensity light (4 h, 1,000 </w:t>
      </w:r>
      <w:proofErr w:type="spellStart"/>
      <w:proofErr w:type="gramStart"/>
      <w:r w:rsidRPr="00D424AD">
        <w:rPr>
          <w:rFonts w:ascii="Times New Roman" w:hAnsi="Times New Roman"/>
          <w:color w:val="auto"/>
          <w:sz w:val="20"/>
          <w:lang w:eastAsia="en-US"/>
        </w:rPr>
        <w:t>μmol</w:t>
      </w:r>
      <w:proofErr w:type="spellEnd"/>
      <w:r w:rsidRPr="00D424AD">
        <w:rPr>
          <w:rFonts w:ascii="Times New Roman" w:hAnsi="Times New Roman"/>
          <w:color w:val="auto"/>
          <w:sz w:val="20"/>
          <w:lang w:eastAsia="en-US"/>
        </w:rPr>
        <w:t>(</w:t>
      </w:r>
      <w:proofErr w:type="gramEnd"/>
      <w:r w:rsidRPr="00D424AD">
        <w:rPr>
          <w:rFonts w:ascii="Times New Roman" w:hAnsi="Times New Roman"/>
          <w:color w:val="auto"/>
          <w:sz w:val="20"/>
          <w:lang w:eastAsia="en-US"/>
        </w:rPr>
        <w:t>photon) m</w:t>
      </w:r>
      <w:r w:rsidRPr="00D424AD">
        <w:rPr>
          <w:rFonts w:ascii="Times New Roman" w:hAnsi="Times New Roman"/>
          <w:color w:val="auto"/>
          <w:sz w:val="20"/>
          <w:vertAlign w:val="superscript"/>
          <w:lang w:eastAsia="en-US"/>
        </w:rPr>
        <w:t>–2</w:t>
      </w:r>
      <w:r w:rsidRPr="00D424AD">
        <w:rPr>
          <w:rFonts w:ascii="Times New Roman" w:hAnsi="Times New Roman"/>
          <w:color w:val="auto"/>
          <w:sz w:val="20"/>
          <w:lang w:eastAsia="en-US"/>
        </w:rPr>
        <w:t xml:space="preserve"> s</w:t>
      </w:r>
      <w:r w:rsidRPr="00D424AD">
        <w:rPr>
          <w:rFonts w:ascii="Times New Roman" w:hAnsi="Times New Roman"/>
          <w:color w:val="auto"/>
          <w:sz w:val="20"/>
          <w:vertAlign w:val="superscript"/>
          <w:lang w:eastAsia="en-US"/>
        </w:rPr>
        <w:t>–1</w:t>
      </w:r>
      <w:r w:rsidRPr="00D424AD">
        <w:rPr>
          <w:rFonts w:ascii="Times New Roman" w:hAnsi="Times New Roman"/>
          <w:sz w:val="20"/>
        </w:rPr>
        <w:t xml:space="preserve">). </w:t>
      </w:r>
      <w:r>
        <w:rPr>
          <w:rFonts w:ascii="Times New Roman" w:hAnsi="Times New Roman"/>
          <w:sz w:val="20"/>
        </w:rPr>
        <w:br/>
      </w:r>
      <w:r w:rsidRPr="00D424AD">
        <w:rPr>
          <w:rFonts w:ascii="Times New Roman" w:hAnsi="Times New Roman"/>
          <w:color w:val="000000" w:themeColor="text1"/>
          <w:sz w:val="20"/>
        </w:rPr>
        <w:t xml:space="preserve">The data are presented as the means ± </w:t>
      </w:r>
      <w:bookmarkEnd w:id="0"/>
      <w:r w:rsidRPr="00D424AD">
        <w:rPr>
          <w:rFonts w:ascii="Times New Roman" w:hAnsi="Times New Roman"/>
          <w:sz w:val="20"/>
        </w:rPr>
        <w:t>SE</w:t>
      </w:r>
      <w:r w:rsidRPr="00D424AD">
        <w:rPr>
          <w:rFonts w:ascii="Times New Roman" w:hAnsi="Times New Roman"/>
          <w:color w:val="000000" w:themeColor="text1"/>
          <w:sz w:val="20"/>
        </w:rPr>
        <w:t xml:space="preserve">. </w:t>
      </w:r>
      <w:r w:rsidRPr="00D424AD">
        <w:rPr>
          <w:rFonts w:ascii="Times New Roman" w:hAnsi="Times New Roman"/>
          <w:i/>
          <w:color w:val="000000" w:themeColor="text1"/>
          <w:sz w:val="20"/>
        </w:rPr>
        <w:t>Different letters</w:t>
      </w:r>
      <w:r w:rsidRPr="00D424AD">
        <w:rPr>
          <w:rFonts w:ascii="Times New Roman" w:hAnsi="Times New Roman"/>
          <w:color w:val="000000" w:themeColor="text1"/>
          <w:sz w:val="20"/>
        </w:rPr>
        <w:t xml:space="preserve"> indicate statistically significant differences (</w:t>
      </w:r>
      <w:r w:rsidRPr="00D424AD">
        <w:rPr>
          <w:rFonts w:ascii="Times New Roman" w:hAnsi="Times New Roman"/>
          <w:i/>
          <w:iCs/>
          <w:color w:val="000000" w:themeColor="text1"/>
          <w:sz w:val="20"/>
        </w:rPr>
        <w:t>p</w:t>
      </w:r>
      <w:r w:rsidRPr="00D424AD">
        <w:rPr>
          <w:rFonts w:ascii="Times New Roman" w:hAnsi="Times New Roman"/>
          <w:color w:val="000000" w:themeColor="text1"/>
          <w:sz w:val="20"/>
        </w:rPr>
        <w:t xml:space="preserve">&lt;0.05), </w:t>
      </w:r>
      <w:r>
        <w:rPr>
          <w:rFonts w:ascii="Times New Roman" w:hAnsi="Times New Roman"/>
          <w:color w:val="000000" w:themeColor="text1"/>
          <w:sz w:val="20"/>
        </w:rPr>
        <w:br/>
      </w:r>
      <w:bookmarkStart w:id="1" w:name="_GoBack"/>
      <w:bookmarkEnd w:id="1"/>
      <w:r w:rsidRPr="00D424AD">
        <w:rPr>
          <w:rFonts w:ascii="Times New Roman" w:hAnsi="Times New Roman"/>
          <w:i/>
          <w:color w:val="000000" w:themeColor="text1"/>
          <w:sz w:val="20"/>
        </w:rPr>
        <w:t>n</w:t>
      </w:r>
      <w:r w:rsidRPr="00D424AD">
        <w:rPr>
          <w:rFonts w:ascii="Times New Roman" w:hAnsi="Times New Roman"/>
          <w:color w:val="000000" w:themeColor="text1"/>
          <w:sz w:val="20"/>
        </w:rPr>
        <w:t xml:space="preserve"> = 5.</w:t>
      </w:r>
      <w:r w:rsidRPr="00D424AD">
        <w:rPr>
          <w:rFonts w:ascii="Times New Roman" w:hAnsi="Times New Roman"/>
          <w:kern w:val="3"/>
          <w:sz w:val="20"/>
        </w:rPr>
        <w:t xml:space="preserve"> Here, </w:t>
      </w:r>
      <w:proofErr w:type="gramStart"/>
      <w:r w:rsidRPr="00D424AD">
        <w:rPr>
          <w:rFonts w:ascii="Times New Roman" w:hAnsi="Times New Roman"/>
          <w:kern w:val="3"/>
          <w:sz w:val="20"/>
        </w:rPr>
        <w:t>Y</w:t>
      </w:r>
      <w:r w:rsidRPr="00D424AD">
        <w:rPr>
          <w:rFonts w:ascii="Times New Roman" w:hAnsi="Times New Roman"/>
          <w:kern w:val="3"/>
          <w:sz w:val="20"/>
          <w:vertAlign w:val="subscript"/>
        </w:rPr>
        <w:t>(</w:t>
      </w:r>
      <w:proofErr w:type="gramEnd"/>
      <w:r w:rsidRPr="00D424AD">
        <w:rPr>
          <w:rFonts w:ascii="Times New Roman" w:hAnsi="Times New Roman"/>
          <w:kern w:val="3"/>
          <w:sz w:val="20"/>
          <w:vertAlign w:val="subscript"/>
        </w:rPr>
        <w:t>II)</w:t>
      </w:r>
      <w:r w:rsidRPr="00D424AD">
        <w:rPr>
          <w:rFonts w:ascii="Times New Roman" w:hAnsi="Times New Roman"/>
          <w:kern w:val="3"/>
          <w:sz w:val="20"/>
        </w:rPr>
        <w:t xml:space="preserve"> represents the effective photochemical quantum yield</w:t>
      </w:r>
      <w:r w:rsidRPr="00D424AD">
        <w:rPr>
          <w:rFonts w:ascii="Times New Roman" w:hAnsi="Times New Roman"/>
          <w:sz w:val="20"/>
        </w:rPr>
        <w:t xml:space="preserve"> </w:t>
      </w:r>
      <w:r w:rsidRPr="00D424AD">
        <w:rPr>
          <w:rFonts w:ascii="Times New Roman" w:hAnsi="Times New Roman"/>
          <w:kern w:val="3"/>
          <w:sz w:val="20"/>
        </w:rPr>
        <w:t xml:space="preserve">of PSII, and NPQ represents </w:t>
      </w:r>
      <w:proofErr w:type="spellStart"/>
      <w:r w:rsidRPr="00D424AD">
        <w:rPr>
          <w:rFonts w:ascii="Times New Roman" w:hAnsi="Times New Roman"/>
          <w:sz w:val="20"/>
        </w:rPr>
        <w:t>nonphotochemical</w:t>
      </w:r>
      <w:proofErr w:type="spellEnd"/>
      <w:r w:rsidRPr="00D424AD">
        <w:rPr>
          <w:rFonts w:ascii="Times New Roman" w:hAnsi="Times New Roman"/>
          <w:sz w:val="20"/>
        </w:rPr>
        <w:t xml:space="preserve"> quenching</w:t>
      </w:r>
      <w:r w:rsidRPr="00D424AD">
        <w:rPr>
          <w:rFonts w:ascii="Times New Roman" w:hAnsi="Times New Roman"/>
          <w:kern w:val="3"/>
          <w:sz w:val="20"/>
        </w:rPr>
        <w:t>.</w:t>
      </w:r>
    </w:p>
    <w:p w:rsidR="00D424AD" w:rsidRPr="00D424AD" w:rsidRDefault="00D424AD" w:rsidP="00D424AD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3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627"/>
        <w:gridCol w:w="1628"/>
      </w:tblGrid>
      <w:tr w:rsidR="00D424AD" w:rsidRPr="00D424AD" w:rsidTr="00D424AD">
        <w:trPr>
          <w:trHeight w:val="20"/>
        </w:trPr>
        <w:tc>
          <w:tcPr>
            <w:tcW w:w="1702" w:type="dxa"/>
            <w:tcBorders>
              <w:bottom w:val="single" w:sz="4" w:space="0" w:color="auto"/>
            </w:tcBorders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Parameter/Ratio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Y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bscript"/>
              </w:rPr>
              <w:t>(II)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NPQ</w:t>
            </w:r>
          </w:p>
        </w:tc>
      </w:tr>
      <w:tr w:rsidR="00D424AD" w:rsidRPr="00D424AD" w:rsidTr="00D424AD">
        <w:trPr>
          <w:trHeight w:val="20"/>
        </w:trPr>
        <w:tc>
          <w:tcPr>
            <w:tcW w:w="1702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No FRL</w:t>
            </w:r>
          </w:p>
        </w:tc>
        <w:tc>
          <w:tcPr>
            <w:tcW w:w="1627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0.54 ± 0.03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</w:t>
            </w:r>
          </w:p>
        </w:tc>
        <w:tc>
          <w:tcPr>
            <w:tcW w:w="1628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0.80 ± 0.16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</w:t>
            </w:r>
          </w:p>
        </w:tc>
      </w:tr>
      <w:tr w:rsidR="00D424AD" w:rsidRPr="00D424AD" w:rsidTr="00D424AD">
        <w:trPr>
          <w:trHeight w:val="20"/>
        </w:trPr>
        <w:tc>
          <w:tcPr>
            <w:tcW w:w="1702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 xml:space="preserve">1.67 </w:t>
            </w:r>
          </w:p>
        </w:tc>
        <w:tc>
          <w:tcPr>
            <w:tcW w:w="1627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0.52 ± 0.02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</w:t>
            </w:r>
          </w:p>
        </w:tc>
        <w:tc>
          <w:tcPr>
            <w:tcW w:w="1628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0.48 ± 0.05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b</w:t>
            </w:r>
          </w:p>
        </w:tc>
      </w:tr>
      <w:tr w:rsidR="00D424AD" w:rsidRPr="00D424AD" w:rsidTr="00D424AD">
        <w:trPr>
          <w:trHeight w:val="20"/>
        </w:trPr>
        <w:tc>
          <w:tcPr>
            <w:tcW w:w="1702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 xml:space="preserve">0.89 </w:t>
            </w:r>
          </w:p>
        </w:tc>
        <w:tc>
          <w:tcPr>
            <w:tcW w:w="1627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0.44 ± 0.01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b</w:t>
            </w:r>
          </w:p>
        </w:tc>
        <w:tc>
          <w:tcPr>
            <w:tcW w:w="1628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0.99 ± 0.12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</w:t>
            </w:r>
          </w:p>
        </w:tc>
      </w:tr>
      <w:tr w:rsidR="00D424AD" w:rsidRPr="00D424AD" w:rsidTr="00D424AD">
        <w:trPr>
          <w:trHeight w:val="20"/>
        </w:trPr>
        <w:tc>
          <w:tcPr>
            <w:tcW w:w="1702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 xml:space="preserve">0.29 </w:t>
            </w:r>
          </w:p>
        </w:tc>
        <w:tc>
          <w:tcPr>
            <w:tcW w:w="1627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0.45 ± 0.01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b</w:t>
            </w:r>
          </w:p>
        </w:tc>
        <w:tc>
          <w:tcPr>
            <w:tcW w:w="1628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1.03 ± 0.10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</w:t>
            </w:r>
          </w:p>
        </w:tc>
      </w:tr>
      <w:tr w:rsidR="00D424AD" w:rsidRPr="00D424AD" w:rsidTr="00D424AD">
        <w:trPr>
          <w:trHeight w:val="20"/>
        </w:trPr>
        <w:tc>
          <w:tcPr>
            <w:tcW w:w="1702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No FRL+HIL</w:t>
            </w:r>
          </w:p>
        </w:tc>
        <w:tc>
          <w:tcPr>
            <w:tcW w:w="1627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0.50 ± 0.02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ab</w:t>
            </w:r>
          </w:p>
        </w:tc>
        <w:tc>
          <w:tcPr>
            <w:tcW w:w="1628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0.70 ± 0.11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ab</w:t>
            </w:r>
          </w:p>
        </w:tc>
      </w:tr>
      <w:tr w:rsidR="00D424AD" w:rsidRPr="00D424AD" w:rsidTr="00D424AD">
        <w:trPr>
          <w:trHeight w:val="20"/>
        </w:trPr>
        <w:tc>
          <w:tcPr>
            <w:tcW w:w="1702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1.67+HIL</w:t>
            </w:r>
          </w:p>
        </w:tc>
        <w:tc>
          <w:tcPr>
            <w:tcW w:w="1627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0.49 ± 0.03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ab</w:t>
            </w:r>
          </w:p>
        </w:tc>
        <w:tc>
          <w:tcPr>
            <w:tcW w:w="1628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0.89 ± 018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</w:t>
            </w:r>
          </w:p>
        </w:tc>
      </w:tr>
      <w:tr w:rsidR="00D424AD" w:rsidRPr="00D424AD" w:rsidTr="00D424AD">
        <w:trPr>
          <w:trHeight w:val="20"/>
        </w:trPr>
        <w:tc>
          <w:tcPr>
            <w:tcW w:w="1702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0.89+HIL</w:t>
            </w:r>
          </w:p>
        </w:tc>
        <w:tc>
          <w:tcPr>
            <w:tcW w:w="1627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0.46 ± 0.02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ab</w:t>
            </w:r>
          </w:p>
        </w:tc>
        <w:tc>
          <w:tcPr>
            <w:tcW w:w="1628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1.06 ± 0.15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</w:t>
            </w:r>
          </w:p>
        </w:tc>
      </w:tr>
      <w:tr w:rsidR="00D424AD" w:rsidRPr="00D424AD" w:rsidTr="00D424AD">
        <w:trPr>
          <w:trHeight w:val="20"/>
        </w:trPr>
        <w:tc>
          <w:tcPr>
            <w:tcW w:w="1702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0.29+HIL</w:t>
            </w:r>
          </w:p>
        </w:tc>
        <w:tc>
          <w:tcPr>
            <w:tcW w:w="1627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0.40 ± 0.01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c</w:t>
            </w:r>
          </w:p>
        </w:tc>
        <w:tc>
          <w:tcPr>
            <w:tcW w:w="1628" w:type="dxa"/>
          </w:tcPr>
          <w:p w:rsidR="00D424AD" w:rsidRPr="00D424AD" w:rsidRDefault="00D424AD" w:rsidP="00D424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24AD">
              <w:rPr>
                <w:rFonts w:ascii="Times New Roman" w:hAnsi="Times New Roman"/>
                <w:color w:val="auto"/>
                <w:sz w:val="20"/>
              </w:rPr>
              <w:t>1.13 ± 0.14</w:t>
            </w:r>
            <w:r w:rsidRPr="00D424AD">
              <w:rPr>
                <w:rFonts w:ascii="Times New Roman" w:hAnsi="Times New Roman"/>
                <w:color w:val="auto"/>
                <w:sz w:val="20"/>
                <w:vertAlign w:val="superscript"/>
              </w:rPr>
              <w:t>a</w:t>
            </w:r>
          </w:p>
        </w:tc>
      </w:tr>
    </w:tbl>
    <w:p w:rsidR="00D424AD" w:rsidRPr="00D424AD" w:rsidRDefault="00D424AD" w:rsidP="00D424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lang w:val="en-US"/>
        </w:rPr>
      </w:pPr>
    </w:p>
    <w:p w:rsidR="00D424AD" w:rsidRDefault="00D424AD" w:rsidP="00D424AD">
      <w:pPr>
        <w:spacing w:after="0" w:line="240" w:lineRule="auto"/>
        <w:contextualSpacing/>
        <w:rPr>
          <w:rFonts w:ascii="Times New Roman" w:hAnsi="Times New Roman"/>
          <w:sz w:val="20"/>
        </w:rPr>
      </w:pPr>
      <w:r w:rsidRPr="00D424AD">
        <w:rPr>
          <w:rFonts w:ascii="Times New Roman" w:hAnsi="Times New Roman"/>
          <w:noProof/>
          <w:sz w:val="20"/>
          <w:lang w:val="cs-CZ" w:eastAsia="cs-CZ"/>
        </w:rPr>
        <w:drawing>
          <wp:inline distT="0" distB="0" distL="0" distR="0" wp14:anchorId="3D4371DE" wp14:editId="5F7417A1">
            <wp:extent cx="5940425" cy="298958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4AD" w:rsidRPr="00D424AD" w:rsidRDefault="00D424AD" w:rsidP="00D424AD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:rsidR="00F13006" w:rsidRPr="00D424AD" w:rsidRDefault="00D424AD" w:rsidP="00D424AD">
      <w:pPr>
        <w:spacing w:after="0" w:line="240" w:lineRule="auto"/>
        <w:contextualSpacing/>
        <w:rPr>
          <w:rFonts w:ascii="Times New Roman" w:hAnsi="Times New Roman"/>
          <w:sz w:val="20"/>
          <w:lang w:val="en-US"/>
        </w:rPr>
      </w:pPr>
      <w:r w:rsidRPr="00D424AD">
        <w:rPr>
          <w:rFonts w:ascii="Times New Roman" w:hAnsi="Times New Roman"/>
          <w:bCs/>
          <w:sz w:val="20"/>
        </w:rPr>
        <w:t>Fig</w:t>
      </w:r>
      <w:r w:rsidRPr="00D424AD">
        <w:rPr>
          <w:rFonts w:ascii="Times New Roman" w:hAnsi="Times New Roman"/>
          <w:bCs/>
          <w:sz w:val="20"/>
        </w:rPr>
        <w:t>.</w:t>
      </w:r>
      <w:r w:rsidRPr="00D424AD">
        <w:rPr>
          <w:rFonts w:ascii="Times New Roman" w:hAnsi="Times New Roman"/>
          <w:bCs/>
          <w:sz w:val="20"/>
        </w:rPr>
        <w:t xml:space="preserve"> 1</w:t>
      </w:r>
      <w:r w:rsidRPr="00D424AD">
        <w:rPr>
          <w:rFonts w:ascii="Times New Roman" w:hAnsi="Times New Roman"/>
          <w:bCs/>
          <w:sz w:val="20"/>
        </w:rPr>
        <w:t>S</w:t>
      </w:r>
      <w:r w:rsidRPr="00D424AD">
        <w:rPr>
          <w:rFonts w:ascii="Times New Roman" w:hAnsi="Times New Roman"/>
          <w:bCs/>
          <w:sz w:val="20"/>
        </w:rPr>
        <w:t>.</w:t>
      </w:r>
      <w:r w:rsidRPr="00D424AD">
        <w:rPr>
          <w:rFonts w:ascii="Times New Roman" w:hAnsi="Times New Roman"/>
          <w:sz w:val="20"/>
        </w:rPr>
        <w:t xml:space="preserve"> Lettuce plants at different red/far-red light ratios.</w:t>
      </w:r>
    </w:p>
    <w:sectPr w:rsidR="00F13006" w:rsidRPr="00D424A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AD"/>
    <w:rsid w:val="00D424AD"/>
    <w:rsid w:val="00F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B74F"/>
  <w15:chartTrackingRefBased/>
  <w15:docId w15:val="{98EBAD4C-0B2A-4665-9F1B-244D3C88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4AD"/>
    <w:pPr>
      <w:spacing w:after="200" w:line="276" w:lineRule="auto"/>
    </w:pPr>
    <w:rPr>
      <w:rFonts w:eastAsia="Times New Roman" w:cs="Times New Roman"/>
      <w:color w:val="000000"/>
      <w:szCs w:val="20"/>
      <w:lang w:val="en-GB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Spoustova Petra UEB</dc:creator>
  <cp:keywords/>
  <dc:description/>
  <cp:lastModifiedBy>Spoustova Petra UEB</cp:lastModifiedBy>
  <cp:revision>1</cp:revision>
  <dcterms:created xsi:type="dcterms:W3CDTF">2025-10-30T10:10:00Z</dcterms:created>
  <dcterms:modified xsi:type="dcterms:W3CDTF">2025-10-30T10:17:00Z</dcterms:modified>
</cp:coreProperties>
</file>