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0B43" w14:textId="2551F26B" w:rsidR="00733254" w:rsidRPr="00733254" w:rsidRDefault="00733254" w:rsidP="00733254">
      <w:pPr>
        <w:spacing w:line="240" w:lineRule="auto"/>
        <w:contextualSpacing/>
        <w:rPr>
          <w:rFonts w:cs="Times New Roman"/>
          <w:b/>
          <w:bCs/>
          <w:sz w:val="20"/>
          <w:szCs w:val="20"/>
        </w:rPr>
      </w:pPr>
      <w:r w:rsidRPr="00733254">
        <w:rPr>
          <w:rFonts w:cs="Times New Roman"/>
          <w:b/>
          <w:bCs/>
          <w:sz w:val="20"/>
          <w:szCs w:val="20"/>
        </w:rPr>
        <w:t xml:space="preserve">Supplementary </w:t>
      </w:r>
      <w:r w:rsidRPr="00733254">
        <w:rPr>
          <w:rFonts w:cs="Times New Roman"/>
          <w:b/>
          <w:bCs/>
          <w:sz w:val="20"/>
          <w:szCs w:val="20"/>
        </w:rPr>
        <w:t>d</w:t>
      </w:r>
      <w:r w:rsidRPr="00733254">
        <w:rPr>
          <w:rFonts w:cs="Times New Roman"/>
          <w:b/>
          <w:bCs/>
          <w:sz w:val="20"/>
          <w:szCs w:val="20"/>
        </w:rPr>
        <w:t xml:space="preserve">ata </w:t>
      </w:r>
    </w:p>
    <w:p w14:paraId="28E7ED20" w14:textId="77777777" w:rsidR="00733254" w:rsidRPr="00733254" w:rsidRDefault="00733254" w:rsidP="00733254">
      <w:pPr>
        <w:spacing w:line="240" w:lineRule="auto"/>
        <w:contextualSpacing/>
        <w:rPr>
          <w:rFonts w:cs="Times New Roman"/>
          <w:sz w:val="20"/>
          <w:szCs w:val="20"/>
        </w:rPr>
      </w:pPr>
    </w:p>
    <w:p w14:paraId="47BEA6E7" w14:textId="77777777" w:rsidR="00733254" w:rsidRPr="00733254" w:rsidRDefault="00733254" w:rsidP="00733254">
      <w:pPr>
        <w:spacing w:line="240" w:lineRule="auto"/>
        <w:contextualSpacing/>
        <w:rPr>
          <w:rFonts w:cs="Times New Roman"/>
          <w:sz w:val="20"/>
          <w:szCs w:val="20"/>
        </w:rPr>
      </w:pPr>
      <w:r w:rsidRPr="00733254">
        <w:rPr>
          <w:rFonts w:cs="Times New Roman"/>
          <w:noProof/>
          <w:sz w:val="20"/>
          <w:szCs w:val="20"/>
        </w:rPr>
        <w:drawing>
          <wp:inline distT="0" distB="0" distL="0" distR="0" wp14:anchorId="1E8464B0" wp14:editId="5817665D">
            <wp:extent cx="3239008" cy="3239008"/>
            <wp:effectExtent l="0" t="0" r="0" b="0"/>
            <wp:docPr id="16" name="図 16" descr="グラフ, 散布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 descr="グラフ, 散布図&#10;&#10;AI によって生成されたコンテンツは間違っている可能性があります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008" cy="323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7CB9D" w14:textId="08FF7AB7" w:rsidR="00733254" w:rsidRPr="00733254" w:rsidRDefault="00733254" w:rsidP="00733254">
      <w:pPr>
        <w:spacing w:line="240" w:lineRule="auto"/>
        <w:contextualSpacing/>
        <w:rPr>
          <w:rFonts w:cs="Times New Roman"/>
          <w:sz w:val="20"/>
          <w:szCs w:val="20"/>
        </w:rPr>
      </w:pPr>
      <w:r w:rsidRPr="00733254">
        <w:rPr>
          <w:rFonts w:cs="Times New Roman"/>
          <w:sz w:val="20"/>
          <w:szCs w:val="20"/>
        </w:rPr>
        <w:t xml:space="preserve">Fig. 1S. Comparison between incorrect and correct values of maximum carboxylation rate, </w:t>
      </w:r>
      <w:proofErr w:type="spellStart"/>
      <w:r w:rsidRPr="00733254">
        <w:rPr>
          <w:rFonts w:cs="Times New Roman"/>
          <w:i/>
          <w:iCs/>
          <w:sz w:val="20"/>
          <w:szCs w:val="20"/>
        </w:rPr>
        <w:t>V</w:t>
      </w:r>
      <w:r w:rsidRPr="00733254">
        <w:rPr>
          <w:rFonts w:cs="Times New Roman"/>
          <w:sz w:val="20"/>
          <w:szCs w:val="20"/>
          <w:vertAlign w:val="subscript"/>
        </w:rPr>
        <w:t>cmax</w:t>
      </w:r>
      <w:proofErr w:type="spellEnd"/>
      <w:r w:rsidRPr="00733254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</w:r>
      <w:r w:rsidRPr="00733254">
        <w:rPr>
          <w:rFonts w:cs="Times New Roman"/>
          <w:sz w:val="20"/>
          <w:szCs w:val="20"/>
        </w:rPr>
        <w:t>(</w:t>
      </w:r>
      <w:r w:rsidRPr="00733254">
        <w:rPr>
          <w:rFonts w:cs="Times New Roman"/>
          <w:i/>
          <w:iCs/>
          <w:sz w:val="20"/>
          <w:szCs w:val="20"/>
        </w:rPr>
        <w:t>n</w:t>
      </w:r>
      <w:r w:rsidRPr="00733254">
        <w:rPr>
          <w:rFonts w:cs="Times New Roman"/>
          <w:sz w:val="20"/>
          <w:szCs w:val="20"/>
        </w:rPr>
        <w:t xml:space="preserve"> = 175), calculated using the one-point method. </w:t>
      </w:r>
      <w:r w:rsidRPr="00733254">
        <w:rPr>
          <w:rFonts w:cs="Times New Roman"/>
          <w:i/>
          <w:iCs/>
          <w:sz w:val="20"/>
          <w:szCs w:val="20"/>
        </w:rPr>
        <w:t>The black solid lines</w:t>
      </w:r>
      <w:r w:rsidRPr="00733254">
        <w:rPr>
          <w:rFonts w:cs="Times New Roman"/>
          <w:sz w:val="20"/>
          <w:szCs w:val="20"/>
        </w:rPr>
        <w:t xml:space="preserve"> indicate the regression lines. </w:t>
      </w:r>
      <w:r>
        <w:rPr>
          <w:rFonts w:cs="Times New Roman"/>
          <w:sz w:val="20"/>
          <w:szCs w:val="20"/>
        </w:rPr>
        <w:br/>
      </w:r>
      <w:r w:rsidRPr="00733254">
        <w:rPr>
          <w:rFonts w:cs="Times New Roman"/>
          <w:sz w:val="20"/>
          <w:szCs w:val="20"/>
        </w:rPr>
        <w:t xml:space="preserve">A total of 72 data of </w:t>
      </w:r>
      <w:proofErr w:type="spellStart"/>
      <w:r w:rsidRPr="00733254">
        <w:rPr>
          <w:rFonts w:cs="Times New Roman"/>
          <w:i/>
          <w:iCs/>
          <w:sz w:val="20"/>
          <w:szCs w:val="20"/>
        </w:rPr>
        <w:t>V</w:t>
      </w:r>
      <w:r w:rsidRPr="00733254">
        <w:rPr>
          <w:rFonts w:cs="Times New Roman"/>
          <w:sz w:val="20"/>
          <w:szCs w:val="20"/>
          <w:vertAlign w:val="subscript"/>
        </w:rPr>
        <w:t>cmax</w:t>
      </w:r>
      <w:proofErr w:type="spellEnd"/>
      <w:r w:rsidRPr="00733254">
        <w:rPr>
          <w:rFonts w:cs="Times New Roman"/>
          <w:sz w:val="20"/>
          <w:szCs w:val="20"/>
        </w:rPr>
        <w:t xml:space="preserve"> was corrected using these regression lines.</w:t>
      </w:r>
    </w:p>
    <w:p w14:paraId="79DE5B77" w14:textId="77777777" w:rsidR="00733254" w:rsidRPr="00733254" w:rsidRDefault="00733254" w:rsidP="00733254">
      <w:pPr>
        <w:widowControl/>
        <w:spacing w:line="240" w:lineRule="auto"/>
        <w:contextualSpacing/>
        <w:rPr>
          <w:rFonts w:cs="Times New Roman"/>
          <w:sz w:val="20"/>
          <w:szCs w:val="20"/>
        </w:rPr>
      </w:pPr>
      <w:r w:rsidRPr="00733254">
        <w:rPr>
          <w:rFonts w:cs="Times New Roman"/>
          <w:sz w:val="20"/>
          <w:szCs w:val="20"/>
        </w:rPr>
        <w:br w:type="page"/>
      </w:r>
    </w:p>
    <w:p w14:paraId="24719EEA" w14:textId="15CA87AF" w:rsidR="00733254" w:rsidRPr="00733254" w:rsidRDefault="00733254" w:rsidP="00733254">
      <w:pPr>
        <w:spacing w:line="240" w:lineRule="auto"/>
        <w:contextualSpacing/>
        <w:rPr>
          <w:rFonts w:cs="Times New Roman"/>
          <w:sz w:val="20"/>
          <w:szCs w:val="20"/>
        </w:rPr>
      </w:pPr>
      <w:r w:rsidRPr="00733254">
        <w:rPr>
          <w:rFonts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57216" behindDoc="0" locked="0" layoutInCell="1" allowOverlap="1" wp14:anchorId="14BEE0FE" wp14:editId="79CA36A1">
            <wp:simplePos x="0" y="0"/>
            <wp:positionH relativeFrom="column">
              <wp:posOffset>1399309</wp:posOffset>
            </wp:positionH>
            <wp:positionV relativeFrom="paragraph">
              <wp:posOffset>0</wp:posOffset>
            </wp:positionV>
            <wp:extent cx="2878836" cy="2878836"/>
            <wp:effectExtent l="0" t="0" r="0" b="0"/>
            <wp:wrapTopAndBottom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836" cy="2878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3254">
        <w:rPr>
          <w:rFonts w:cs="Times New Roman"/>
          <w:sz w:val="20"/>
          <w:szCs w:val="20"/>
        </w:rPr>
        <w:t xml:space="preserve">Fig. 2S. Comparison between maximum carboxylation rate, </w:t>
      </w:r>
      <w:proofErr w:type="spellStart"/>
      <w:r w:rsidRPr="00733254">
        <w:rPr>
          <w:rFonts w:cs="Times New Roman"/>
          <w:i/>
          <w:iCs/>
          <w:sz w:val="20"/>
          <w:szCs w:val="20"/>
        </w:rPr>
        <w:t>V</w:t>
      </w:r>
      <w:r w:rsidRPr="00733254">
        <w:rPr>
          <w:rFonts w:cs="Times New Roman"/>
          <w:sz w:val="20"/>
          <w:szCs w:val="20"/>
          <w:vertAlign w:val="subscript"/>
        </w:rPr>
        <w:t>cmax</w:t>
      </w:r>
      <w:proofErr w:type="spellEnd"/>
      <w:r w:rsidRPr="00733254">
        <w:rPr>
          <w:rFonts w:cs="Times New Roman"/>
          <w:sz w:val="20"/>
          <w:szCs w:val="20"/>
        </w:rPr>
        <w:t xml:space="preserve"> estimated by the CO</w:t>
      </w:r>
      <w:r w:rsidRPr="00733254">
        <w:rPr>
          <w:rFonts w:cs="Times New Roman"/>
          <w:sz w:val="20"/>
          <w:szCs w:val="20"/>
          <w:vertAlign w:val="subscript"/>
        </w:rPr>
        <w:t>2</w:t>
      </w:r>
      <w:r w:rsidRPr="00733254">
        <w:rPr>
          <w:rFonts w:cs="Times New Roman"/>
          <w:sz w:val="20"/>
          <w:szCs w:val="20"/>
        </w:rPr>
        <w:t xml:space="preserve"> response (</w:t>
      </w:r>
      <w:r w:rsidRPr="00733254">
        <w:rPr>
          <w:rFonts w:cs="Times New Roman"/>
          <w:i/>
          <w:iCs/>
          <w:sz w:val="20"/>
          <w:szCs w:val="20"/>
        </w:rPr>
        <w:t>P</w:t>
      </w:r>
      <w:r w:rsidRPr="00733254">
        <w:rPr>
          <w:rFonts w:cs="Times New Roman"/>
          <w:sz w:val="20"/>
          <w:szCs w:val="20"/>
        </w:rPr>
        <w:t>–</w:t>
      </w:r>
      <w:r w:rsidRPr="00733254">
        <w:rPr>
          <w:rFonts w:cs="Times New Roman"/>
          <w:i/>
          <w:iCs/>
          <w:sz w:val="20"/>
          <w:szCs w:val="20"/>
        </w:rPr>
        <w:t>C</w:t>
      </w:r>
      <w:r w:rsidRPr="00733254">
        <w:rPr>
          <w:rFonts w:cs="Times New Roman"/>
          <w:sz w:val="20"/>
          <w:szCs w:val="20"/>
          <w:vertAlign w:val="subscript"/>
        </w:rPr>
        <w:t>i</w:t>
      </w:r>
      <w:r w:rsidRPr="00733254">
        <w:rPr>
          <w:rFonts w:cs="Times New Roman"/>
          <w:sz w:val="20"/>
          <w:szCs w:val="20"/>
        </w:rPr>
        <w:t xml:space="preserve">) curve method and </w:t>
      </w:r>
      <w:proofErr w:type="spellStart"/>
      <w:r w:rsidRPr="00733254">
        <w:rPr>
          <w:rFonts w:cs="Times New Roman"/>
          <w:i/>
          <w:iCs/>
          <w:sz w:val="20"/>
          <w:szCs w:val="20"/>
        </w:rPr>
        <w:t>V</w:t>
      </w:r>
      <w:r w:rsidRPr="00733254">
        <w:rPr>
          <w:rFonts w:cs="Times New Roman"/>
          <w:sz w:val="20"/>
          <w:szCs w:val="20"/>
          <w:vertAlign w:val="subscript"/>
        </w:rPr>
        <w:t>cmax</w:t>
      </w:r>
      <w:proofErr w:type="spellEnd"/>
      <w:r w:rsidRPr="00733254">
        <w:rPr>
          <w:rFonts w:cs="Times New Roman"/>
          <w:sz w:val="20"/>
          <w:szCs w:val="20"/>
        </w:rPr>
        <w:t xml:space="preserve"> estimated by one-point method using 59 cucumber leaves (cv. Natsu Suzumi, </w:t>
      </w:r>
      <w:r>
        <w:rPr>
          <w:rFonts w:cs="Times New Roman"/>
          <w:sz w:val="20"/>
          <w:szCs w:val="20"/>
        </w:rPr>
        <w:br/>
      </w:r>
      <w:r w:rsidRPr="00733254">
        <w:rPr>
          <w:rFonts w:cs="Times New Roman"/>
          <w:sz w:val="20"/>
          <w:szCs w:val="20"/>
        </w:rPr>
        <w:t xml:space="preserve">the same cultivar used in this study). </w:t>
      </w:r>
      <w:r w:rsidRPr="00733254">
        <w:rPr>
          <w:rFonts w:cs="Times New Roman"/>
          <w:i/>
          <w:iCs/>
          <w:sz w:val="20"/>
          <w:szCs w:val="20"/>
        </w:rPr>
        <w:t>The bold solid line</w:t>
      </w:r>
      <w:r w:rsidRPr="00733254">
        <w:rPr>
          <w:rFonts w:cs="Times New Roman"/>
          <w:sz w:val="20"/>
          <w:szCs w:val="20"/>
        </w:rPr>
        <w:t xml:space="preserve"> represents the linear regression line, while </w:t>
      </w:r>
      <w:r>
        <w:rPr>
          <w:rFonts w:cs="Times New Roman"/>
          <w:sz w:val="20"/>
          <w:szCs w:val="20"/>
        </w:rPr>
        <w:br/>
      </w:r>
      <w:r w:rsidRPr="00733254">
        <w:rPr>
          <w:rFonts w:cs="Times New Roman"/>
          <w:i/>
          <w:iCs/>
          <w:sz w:val="20"/>
          <w:szCs w:val="20"/>
        </w:rPr>
        <w:t>dashed line</w:t>
      </w:r>
      <w:r w:rsidRPr="00733254">
        <w:rPr>
          <w:rFonts w:cs="Times New Roman"/>
          <w:sz w:val="20"/>
          <w:szCs w:val="20"/>
        </w:rPr>
        <w:t xml:space="preserve"> represents the 1:1 line.</w:t>
      </w:r>
    </w:p>
    <w:p w14:paraId="6267E9D3" w14:textId="35EA3772" w:rsidR="00733254" w:rsidRPr="00733254" w:rsidRDefault="00733254" w:rsidP="00733254">
      <w:pPr>
        <w:spacing w:line="240" w:lineRule="auto"/>
        <w:contextualSpacing/>
        <w:rPr>
          <w:rFonts w:cs="Times New Roman"/>
          <w:sz w:val="20"/>
          <w:szCs w:val="20"/>
        </w:rPr>
      </w:pPr>
    </w:p>
    <w:p w14:paraId="47823EC2" w14:textId="77777777" w:rsidR="00733254" w:rsidRPr="00733254" w:rsidRDefault="00733254" w:rsidP="00733254">
      <w:pPr>
        <w:widowControl/>
        <w:spacing w:line="240" w:lineRule="auto"/>
        <w:contextualSpacing/>
        <w:rPr>
          <w:rFonts w:cs="Times New Roman"/>
          <w:sz w:val="20"/>
          <w:szCs w:val="20"/>
        </w:rPr>
      </w:pPr>
      <w:r w:rsidRPr="00733254">
        <w:rPr>
          <w:rFonts w:cs="Times New Roman"/>
          <w:sz w:val="20"/>
          <w:szCs w:val="20"/>
        </w:rPr>
        <w:br w:type="page"/>
      </w:r>
    </w:p>
    <w:p w14:paraId="6AAE8306" w14:textId="77777777" w:rsidR="00733254" w:rsidRPr="00733254" w:rsidRDefault="00733254" w:rsidP="00733254">
      <w:pPr>
        <w:widowControl/>
        <w:spacing w:line="240" w:lineRule="auto"/>
        <w:contextualSpacing/>
        <w:rPr>
          <w:rFonts w:cs="Times New Roman"/>
          <w:sz w:val="20"/>
          <w:szCs w:val="20"/>
        </w:rPr>
      </w:pPr>
      <w:r w:rsidRPr="00733254">
        <w:rPr>
          <w:rFonts w:cs="Times New Roman"/>
          <w:noProof/>
          <w:sz w:val="20"/>
          <w:szCs w:val="20"/>
        </w:rPr>
        <w:lastRenderedPageBreak/>
        <w:drawing>
          <wp:inline distT="0" distB="0" distL="0" distR="0" wp14:anchorId="5D9EADD5" wp14:editId="2B7F9B39">
            <wp:extent cx="5039360" cy="3239008"/>
            <wp:effectExtent l="0" t="0" r="0" b="0"/>
            <wp:docPr id="17" name="図 17" descr="グラフ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 descr="グラフ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323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5FDED" w14:textId="77777777" w:rsidR="00733254" w:rsidRPr="00733254" w:rsidRDefault="00733254" w:rsidP="00733254">
      <w:pPr>
        <w:spacing w:line="240" w:lineRule="auto"/>
        <w:contextualSpacing/>
        <w:rPr>
          <w:rFonts w:cs="Times New Roman"/>
          <w:sz w:val="20"/>
          <w:szCs w:val="20"/>
        </w:rPr>
      </w:pPr>
      <w:r w:rsidRPr="00733254">
        <w:rPr>
          <w:rFonts w:cs="Times New Roman"/>
          <w:sz w:val="20"/>
          <w:szCs w:val="20"/>
        </w:rPr>
        <w:t xml:space="preserve">Fig. 3S. Relative intensity of the LED light source. The spectral range was from 400–900 nm. </w:t>
      </w:r>
      <w:r w:rsidRPr="00733254">
        <w:rPr>
          <w:rFonts w:cs="Times New Roman"/>
          <w:i/>
          <w:iCs/>
          <w:sz w:val="20"/>
          <w:szCs w:val="20"/>
        </w:rPr>
        <w:t>The grey region</w:t>
      </w:r>
      <w:r w:rsidRPr="00733254">
        <w:rPr>
          <w:rFonts w:cs="Times New Roman"/>
          <w:sz w:val="20"/>
          <w:szCs w:val="20"/>
        </w:rPr>
        <w:t xml:space="preserve"> represents the spectral range used in this study.</w:t>
      </w:r>
    </w:p>
    <w:p w14:paraId="51F75917" w14:textId="77777777" w:rsidR="00733254" w:rsidRPr="00733254" w:rsidRDefault="00733254" w:rsidP="00733254">
      <w:pPr>
        <w:widowControl/>
        <w:spacing w:line="240" w:lineRule="auto"/>
        <w:contextualSpacing/>
        <w:rPr>
          <w:rFonts w:cs="Times New Roman"/>
          <w:sz w:val="20"/>
          <w:szCs w:val="20"/>
        </w:rPr>
      </w:pPr>
      <w:r w:rsidRPr="00733254">
        <w:rPr>
          <w:rFonts w:cs="Times New Roman"/>
          <w:sz w:val="20"/>
          <w:szCs w:val="20"/>
        </w:rPr>
        <w:br w:type="page"/>
      </w:r>
    </w:p>
    <w:p w14:paraId="19219C67" w14:textId="77777777" w:rsidR="00733254" w:rsidRPr="00733254" w:rsidRDefault="00733254" w:rsidP="00733254">
      <w:pPr>
        <w:widowControl/>
        <w:spacing w:line="240" w:lineRule="auto"/>
        <w:contextualSpacing/>
        <w:rPr>
          <w:rFonts w:cs="Times New Roman"/>
          <w:sz w:val="20"/>
          <w:szCs w:val="20"/>
        </w:rPr>
      </w:pPr>
      <w:r w:rsidRPr="00733254">
        <w:rPr>
          <w:rFonts w:cs="Times New Roman"/>
          <w:noProof/>
          <w:sz w:val="20"/>
          <w:szCs w:val="20"/>
        </w:rPr>
        <w:lastRenderedPageBreak/>
        <w:drawing>
          <wp:inline distT="0" distB="0" distL="0" distR="0" wp14:anchorId="5972A130" wp14:editId="1D9E9338">
            <wp:extent cx="5400040" cy="2727325"/>
            <wp:effectExtent l="0" t="0" r="0" b="0"/>
            <wp:docPr id="18" name="図 18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 descr="ダイアグラム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5CDAA" w14:textId="77777777" w:rsidR="00733254" w:rsidRPr="00733254" w:rsidRDefault="00733254" w:rsidP="00733254">
      <w:pPr>
        <w:spacing w:line="240" w:lineRule="auto"/>
        <w:contextualSpacing/>
        <w:rPr>
          <w:rFonts w:cs="Times New Roman"/>
          <w:sz w:val="20"/>
          <w:szCs w:val="20"/>
        </w:rPr>
      </w:pPr>
      <w:r w:rsidRPr="00733254">
        <w:rPr>
          <w:rFonts w:cs="Times New Roman"/>
          <w:sz w:val="20"/>
          <w:szCs w:val="20"/>
        </w:rPr>
        <w:t>Fig. 4S.</w:t>
      </w:r>
      <w:r w:rsidRPr="00733254">
        <w:rPr>
          <w:rFonts w:cs="Times New Roman"/>
          <w:b/>
          <w:bCs/>
          <w:sz w:val="20"/>
          <w:szCs w:val="20"/>
        </w:rPr>
        <w:t xml:space="preserve"> </w:t>
      </w:r>
      <w:r w:rsidRPr="00733254">
        <w:rPr>
          <w:rFonts w:cs="Times New Roman"/>
          <w:sz w:val="20"/>
          <w:szCs w:val="20"/>
        </w:rPr>
        <w:t>Schematic of the light condensing pipe (width: 25 mm, depth: 25 mm, height: 50 mm). The light-emitting aperture of the LED source was 225 mm</w:t>
      </w:r>
      <w:r w:rsidRPr="00733254">
        <w:rPr>
          <w:rFonts w:cs="Times New Roman"/>
          <w:sz w:val="20"/>
          <w:szCs w:val="20"/>
          <w:vertAlign w:val="superscript"/>
        </w:rPr>
        <w:t>2</w:t>
      </w:r>
      <w:r w:rsidRPr="00733254">
        <w:rPr>
          <w:rFonts w:cs="Times New Roman"/>
          <w:sz w:val="20"/>
          <w:szCs w:val="20"/>
        </w:rPr>
        <w:t xml:space="preserve"> (15 mm × 15 mm), and the light-output aperture of the pipe was 400 mm</w:t>
      </w:r>
      <w:r w:rsidRPr="00733254">
        <w:rPr>
          <w:rFonts w:cs="Times New Roman"/>
          <w:sz w:val="20"/>
          <w:szCs w:val="20"/>
          <w:vertAlign w:val="superscript"/>
        </w:rPr>
        <w:t>2</w:t>
      </w:r>
      <w:r w:rsidRPr="00733254">
        <w:rPr>
          <w:rFonts w:cs="Times New Roman"/>
          <w:sz w:val="20"/>
          <w:szCs w:val="20"/>
        </w:rPr>
        <w:t xml:space="preserve"> (20 mm × 20 mm). The port fraction (</w:t>
      </w:r>
      <w:r w:rsidRPr="00733254">
        <w:rPr>
          <w:rFonts w:cs="Times New Roman"/>
          <w:i/>
          <w:iCs/>
          <w:sz w:val="20"/>
          <w:szCs w:val="20"/>
        </w:rPr>
        <w:t>i.e</w:t>
      </w:r>
      <w:r w:rsidRPr="00733254">
        <w:rPr>
          <w:rFonts w:cs="Times New Roman"/>
          <w:sz w:val="20"/>
          <w:szCs w:val="20"/>
        </w:rPr>
        <w:t>., the ratio of the opening area to the internal surface area) of the light condensing pipe was 0.15135. The elevation angle of optical fiber probe was 45°, and the vertical distance to leaf surface was 5 mm.</w:t>
      </w:r>
    </w:p>
    <w:p w14:paraId="7AE66499" w14:textId="77777777" w:rsidR="00733254" w:rsidRPr="00733254" w:rsidRDefault="00733254" w:rsidP="00733254">
      <w:pPr>
        <w:widowControl/>
        <w:spacing w:line="240" w:lineRule="auto"/>
        <w:contextualSpacing/>
        <w:rPr>
          <w:rFonts w:cs="Times New Roman"/>
          <w:sz w:val="20"/>
          <w:szCs w:val="20"/>
        </w:rPr>
      </w:pPr>
      <w:r w:rsidRPr="00733254">
        <w:rPr>
          <w:rFonts w:cs="Times New Roman"/>
          <w:sz w:val="20"/>
          <w:szCs w:val="20"/>
        </w:rPr>
        <w:br w:type="page"/>
      </w:r>
    </w:p>
    <w:p w14:paraId="73AE2EE6" w14:textId="77777777" w:rsidR="00733254" w:rsidRPr="00733254" w:rsidRDefault="00733254" w:rsidP="00733254">
      <w:pPr>
        <w:widowControl/>
        <w:spacing w:line="240" w:lineRule="auto"/>
        <w:contextualSpacing/>
        <w:rPr>
          <w:rFonts w:cs="Times New Roman"/>
          <w:sz w:val="20"/>
          <w:szCs w:val="20"/>
        </w:rPr>
      </w:pPr>
      <w:r w:rsidRPr="00733254">
        <w:rPr>
          <w:rFonts w:cs="Times New Roman"/>
          <w:noProof/>
          <w:sz w:val="20"/>
          <w:szCs w:val="20"/>
        </w:rPr>
        <w:lastRenderedPageBreak/>
        <w:drawing>
          <wp:inline distT="0" distB="0" distL="0" distR="0" wp14:anchorId="67828A95" wp14:editId="160B5BA9">
            <wp:extent cx="5400040" cy="179959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0C862" w14:textId="77777777" w:rsidR="00733254" w:rsidRPr="00733254" w:rsidRDefault="00733254" w:rsidP="00733254">
      <w:pPr>
        <w:spacing w:line="240" w:lineRule="auto"/>
        <w:contextualSpacing/>
        <w:rPr>
          <w:rFonts w:cs="Times New Roman"/>
          <w:sz w:val="20"/>
          <w:szCs w:val="20"/>
        </w:rPr>
      </w:pPr>
      <w:r w:rsidRPr="00733254">
        <w:rPr>
          <w:rFonts w:cs="Times New Roman"/>
          <w:sz w:val="20"/>
          <w:szCs w:val="20"/>
        </w:rPr>
        <w:t xml:space="preserve">Fig. 5S. Observed </w:t>
      </w:r>
      <w:r w:rsidRPr="00733254">
        <w:rPr>
          <w:rFonts w:cs="Times New Roman"/>
          <w:i/>
          <w:iCs/>
          <w:sz w:val="20"/>
          <w:szCs w:val="20"/>
        </w:rPr>
        <w:t xml:space="preserve">versus </w:t>
      </w:r>
      <w:r w:rsidRPr="00733254">
        <w:rPr>
          <w:rFonts w:cs="Times New Roman"/>
          <w:sz w:val="20"/>
          <w:szCs w:val="20"/>
        </w:rPr>
        <w:t>predicted values of maximum carboxylation rate (</w:t>
      </w:r>
      <w:proofErr w:type="spellStart"/>
      <w:r w:rsidRPr="00733254">
        <w:rPr>
          <w:rFonts w:cs="Times New Roman"/>
          <w:i/>
          <w:iCs/>
          <w:sz w:val="20"/>
          <w:szCs w:val="20"/>
        </w:rPr>
        <w:t>V</w:t>
      </w:r>
      <w:r w:rsidRPr="00733254">
        <w:rPr>
          <w:rFonts w:cs="Times New Roman"/>
          <w:sz w:val="20"/>
          <w:szCs w:val="20"/>
          <w:vertAlign w:val="subscript"/>
        </w:rPr>
        <w:t>cmax</w:t>
      </w:r>
      <w:proofErr w:type="spellEnd"/>
      <w:r w:rsidRPr="00733254">
        <w:rPr>
          <w:rFonts w:cs="Times New Roman"/>
          <w:sz w:val="20"/>
          <w:szCs w:val="20"/>
        </w:rPr>
        <w:t xml:space="preserve">; </w:t>
      </w:r>
      <w:r w:rsidRPr="00733254">
        <w:rPr>
          <w:rFonts w:cs="Times New Roman"/>
          <w:i/>
          <w:iCs/>
          <w:sz w:val="20"/>
          <w:szCs w:val="20"/>
        </w:rPr>
        <w:t>A</w:t>
      </w:r>
      <w:r w:rsidRPr="00733254">
        <w:rPr>
          <w:rFonts w:cs="Times New Roman"/>
          <w:sz w:val="20"/>
          <w:szCs w:val="20"/>
        </w:rPr>
        <w:t>), leaf temperature (</w:t>
      </w:r>
      <w:proofErr w:type="spellStart"/>
      <w:r w:rsidRPr="00733254">
        <w:rPr>
          <w:rFonts w:cs="Times New Roman"/>
          <w:i/>
          <w:iCs/>
          <w:sz w:val="20"/>
          <w:szCs w:val="20"/>
        </w:rPr>
        <w:t>T</w:t>
      </w:r>
      <w:r w:rsidRPr="00733254">
        <w:rPr>
          <w:rFonts w:cs="Times New Roman"/>
          <w:sz w:val="20"/>
          <w:szCs w:val="20"/>
          <w:vertAlign w:val="subscript"/>
        </w:rPr>
        <w:t>leaf</w:t>
      </w:r>
      <w:proofErr w:type="spellEnd"/>
      <w:r w:rsidRPr="00733254">
        <w:rPr>
          <w:rFonts w:cs="Times New Roman"/>
          <w:sz w:val="20"/>
          <w:szCs w:val="20"/>
        </w:rPr>
        <w:t xml:space="preserve">; </w:t>
      </w:r>
      <w:r w:rsidRPr="00733254">
        <w:rPr>
          <w:rFonts w:cs="Times New Roman"/>
          <w:i/>
          <w:iCs/>
          <w:sz w:val="20"/>
          <w:szCs w:val="20"/>
        </w:rPr>
        <w:t>B</w:t>
      </w:r>
      <w:r w:rsidRPr="00733254">
        <w:rPr>
          <w:rFonts w:cs="Times New Roman"/>
          <w:sz w:val="20"/>
          <w:szCs w:val="20"/>
        </w:rPr>
        <w:t xml:space="preserve">), and </w:t>
      </w:r>
      <w:proofErr w:type="spellStart"/>
      <w:r w:rsidRPr="00733254">
        <w:rPr>
          <w:rFonts w:cs="Times New Roman"/>
          <w:i/>
          <w:iCs/>
          <w:sz w:val="20"/>
          <w:szCs w:val="20"/>
        </w:rPr>
        <w:t>V</w:t>
      </w:r>
      <w:r w:rsidRPr="00733254">
        <w:rPr>
          <w:rFonts w:cs="Times New Roman"/>
          <w:sz w:val="20"/>
          <w:szCs w:val="20"/>
          <w:vertAlign w:val="subscript"/>
        </w:rPr>
        <w:t>cmax</w:t>
      </w:r>
      <w:proofErr w:type="spellEnd"/>
      <w:r w:rsidRPr="00733254">
        <w:rPr>
          <w:rFonts w:cs="Times New Roman"/>
          <w:sz w:val="20"/>
          <w:szCs w:val="20"/>
        </w:rPr>
        <w:t xml:space="preserve"> normalized to 25°C (</w:t>
      </w:r>
      <w:r w:rsidRPr="00733254">
        <w:rPr>
          <w:rFonts w:cs="Times New Roman"/>
          <w:i/>
          <w:iCs/>
          <w:sz w:val="20"/>
          <w:szCs w:val="20"/>
        </w:rPr>
        <w:t>V</w:t>
      </w:r>
      <w:r w:rsidRPr="00733254">
        <w:rPr>
          <w:rFonts w:cs="Times New Roman"/>
          <w:sz w:val="20"/>
          <w:szCs w:val="20"/>
          <w:vertAlign w:val="subscript"/>
        </w:rPr>
        <w:t>cmax25</w:t>
      </w:r>
      <w:r w:rsidRPr="00733254">
        <w:rPr>
          <w:rFonts w:cs="Times New Roman"/>
          <w:sz w:val="20"/>
          <w:szCs w:val="20"/>
        </w:rPr>
        <w:t xml:space="preserve">; </w:t>
      </w:r>
      <w:r w:rsidRPr="00733254">
        <w:rPr>
          <w:rFonts w:cs="Times New Roman"/>
          <w:i/>
          <w:iCs/>
          <w:sz w:val="20"/>
          <w:szCs w:val="20"/>
        </w:rPr>
        <w:t>C</w:t>
      </w:r>
      <w:r w:rsidRPr="00733254">
        <w:rPr>
          <w:rFonts w:cs="Times New Roman"/>
          <w:sz w:val="20"/>
          <w:szCs w:val="20"/>
        </w:rPr>
        <w:t xml:space="preserve">) from partial least squares regression (PLSR) models using leaf spectral reflectance across 450–700 nm as explanatory variables. </w:t>
      </w:r>
      <w:r w:rsidRPr="00733254">
        <w:rPr>
          <w:rFonts w:cs="Times New Roman"/>
          <w:i/>
          <w:iCs/>
          <w:sz w:val="20"/>
          <w:szCs w:val="20"/>
        </w:rPr>
        <w:t>The dashed lines</w:t>
      </w:r>
      <w:r w:rsidRPr="00733254">
        <w:rPr>
          <w:rFonts w:cs="Times New Roman"/>
          <w:sz w:val="20"/>
          <w:szCs w:val="20"/>
        </w:rPr>
        <w:t xml:space="preserve"> represent the 1:1 line.</w:t>
      </w:r>
    </w:p>
    <w:p w14:paraId="0FCEE345" w14:textId="77777777" w:rsidR="00733254" w:rsidRPr="00733254" w:rsidRDefault="00733254" w:rsidP="00733254">
      <w:pPr>
        <w:widowControl/>
        <w:spacing w:line="240" w:lineRule="auto"/>
        <w:contextualSpacing/>
        <w:rPr>
          <w:rFonts w:cs="Times New Roman"/>
          <w:sz w:val="20"/>
          <w:szCs w:val="20"/>
        </w:rPr>
      </w:pPr>
      <w:r w:rsidRPr="00733254">
        <w:rPr>
          <w:rFonts w:cs="Times New Roman"/>
          <w:sz w:val="20"/>
          <w:szCs w:val="20"/>
        </w:rPr>
        <w:br w:type="page"/>
      </w:r>
    </w:p>
    <w:p w14:paraId="6FD3C7E6" w14:textId="77777777" w:rsidR="00733254" w:rsidRPr="00733254" w:rsidRDefault="00733254" w:rsidP="00733254">
      <w:pPr>
        <w:spacing w:line="240" w:lineRule="auto"/>
        <w:contextualSpacing/>
        <w:rPr>
          <w:rFonts w:cs="Times New Roman"/>
          <w:sz w:val="20"/>
          <w:szCs w:val="20"/>
        </w:rPr>
      </w:pPr>
      <w:r w:rsidRPr="00733254">
        <w:rPr>
          <w:rFonts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65408" behindDoc="0" locked="0" layoutInCell="1" allowOverlap="1" wp14:anchorId="4CC81A97" wp14:editId="33B0F589">
            <wp:simplePos x="0" y="0"/>
            <wp:positionH relativeFrom="column">
              <wp:posOffset>1226127</wp:posOffset>
            </wp:positionH>
            <wp:positionV relativeFrom="paragraph">
              <wp:posOffset>0</wp:posOffset>
            </wp:positionV>
            <wp:extent cx="3239008" cy="3239008"/>
            <wp:effectExtent l="0" t="0" r="0" b="0"/>
            <wp:wrapTopAndBottom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008" cy="3239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3254">
        <w:rPr>
          <w:rFonts w:cs="Times New Roman"/>
          <w:sz w:val="20"/>
          <w:szCs w:val="20"/>
        </w:rPr>
        <w:t xml:space="preserve">Fig. 6S. Relationships between observed maximum carboxylation rate, </w:t>
      </w:r>
      <w:proofErr w:type="spellStart"/>
      <w:r w:rsidRPr="00733254">
        <w:rPr>
          <w:rFonts w:cs="Times New Roman"/>
          <w:i/>
          <w:iCs/>
          <w:sz w:val="20"/>
          <w:szCs w:val="20"/>
        </w:rPr>
        <w:t>V</w:t>
      </w:r>
      <w:r w:rsidRPr="00733254">
        <w:rPr>
          <w:rFonts w:cs="Times New Roman"/>
          <w:sz w:val="20"/>
          <w:szCs w:val="20"/>
          <w:vertAlign w:val="subscript"/>
        </w:rPr>
        <w:t>cmax</w:t>
      </w:r>
      <w:proofErr w:type="spellEnd"/>
      <w:r w:rsidRPr="00733254">
        <w:rPr>
          <w:rFonts w:cs="Times New Roman"/>
          <w:sz w:val="20"/>
          <w:szCs w:val="20"/>
        </w:rPr>
        <w:t xml:space="preserve"> normalized to 25°C (</w:t>
      </w:r>
      <w:r w:rsidRPr="00733254">
        <w:rPr>
          <w:rFonts w:cs="Times New Roman"/>
          <w:i/>
          <w:iCs/>
          <w:sz w:val="20"/>
          <w:szCs w:val="20"/>
        </w:rPr>
        <w:t>V</w:t>
      </w:r>
      <w:r w:rsidRPr="00733254">
        <w:rPr>
          <w:rFonts w:cs="Times New Roman"/>
          <w:sz w:val="20"/>
          <w:szCs w:val="20"/>
          <w:vertAlign w:val="subscript"/>
        </w:rPr>
        <w:t>cmax25</w:t>
      </w:r>
      <w:r w:rsidRPr="00733254">
        <w:rPr>
          <w:rFonts w:cs="Times New Roman"/>
          <w:sz w:val="20"/>
          <w:szCs w:val="20"/>
        </w:rPr>
        <w:t xml:space="preserve">) and the score values of the first component of the partial least squares regression (PLSR) model for </w:t>
      </w:r>
      <w:proofErr w:type="spellStart"/>
      <w:r w:rsidRPr="00733254">
        <w:rPr>
          <w:rFonts w:cs="Times New Roman"/>
          <w:i/>
          <w:iCs/>
          <w:sz w:val="20"/>
          <w:szCs w:val="20"/>
        </w:rPr>
        <w:t>V</w:t>
      </w:r>
      <w:r w:rsidRPr="00733254">
        <w:rPr>
          <w:rFonts w:cs="Times New Roman"/>
          <w:sz w:val="20"/>
          <w:szCs w:val="20"/>
          <w:vertAlign w:val="subscript"/>
        </w:rPr>
        <w:t>cmax</w:t>
      </w:r>
      <w:proofErr w:type="spellEnd"/>
      <w:r w:rsidRPr="00733254">
        <w:rPr>
          <w:rFonts w:cs="Times New Roman"/>
          <w:sz w:val="20"/>
          <w:szCs w:val="20"/>
        </w:rPr>
        <w:t xml:space="preserve">. </w:t>
      </w:r>
      <w:r w:rsidRPr="00733254">
        <w:rPr>
          <w:rFonts w:cs="Times New Roman"/>
          <w:i/>
          <w:iCs/>
          <w:sz w:val="20"/>
          <w:szCs w:val="20"/>
        </w:rPr>
        <w:t>The dotted line</w:t>
      </w:r>
      <w:r w:rsidRPr="00733254">
        <w:rPr>
          <w:rFonts w:cs="Times New Roman"/>
          <w:sz w:val="20"/>
          <w:szCs w:val="20"/>
        </w:rPr>
        <w:t xml:space="preserve"> indicates a score value of zero. </w:t>
      </w:r>
      <w:r w:rsidRPr="00733254">
        <w:rPr>
          <w:rFonts w:cs="Times New Roman"/>
          <w:i/>
          <w:iCs/>
          <w:sz w:val="20"/>
          <w:szCs w:val="20"/>
        </w:rPr>
        <w:t>The solid line</w:t>
      </w:r>
      <w:r w:rsidRPr="00733254">
        <w:rPr>
          <w:rFonts w:cs="Times New Roman"/>
          <w:sz w:val="20"/>
          <w:szCs w:val="20"/>
        </w:rPr>
        <w:t xml:space="preserve"> indicates linear regression fits, and </w:t>
      </w:r>
      <w:r w:rsidRPr="00733254">
        <w:rPr>
          <w:rFonts w:cs="Times New Roman"/>
          <w:i/>
          <w:iCs/>
          <w:sz w:val="20"/>
          <w:szCs w:val="20"/>
        </w:rPr>
        <w:t>the shaded areas</w:t>
      </w:r>
      <w:r w:rsidRPr="00733254">
        <w:rPr>
          <w:rFonts w:cs="Times New Roman"/>
          <w:sz w:val="20"/>
          <w:szCs w:val="20"/>
        </w:rPr>
        <w:t xml:space="preserve"> represent the 95% confidence intervals.</w:t>
      </w:r>
    </w:p>
    <w:p w14:paraId="0EF17BC7" w14:textId="2AA8A7B6" w:rsidR="00733254" w:rsidRPr="00733254" w:rsidRDefault="00733254" w:rsidP="00733254">
      <w:pPr>
        <w:widowControl/>
        <w:spacing w:line="240" w:lineRule="auto"/>
        <w:contextualSpacing/>
        <w:rPr>
          <w:rFonts w:cs="Times New Roman"/>
          <w:sz w:val="20"/>
          <w:szCs w:val="20"/>
        </w:rPr>
      </w:pPr>
      <w:r w:rsidRPr="00733254">
        <w:rPr>
          <w:rFonts w:cs="Times New Roman"/>
          <w:sz w:val="20"/>
          <w:szCs w:val="20"/>
        </w:rPr>
        <w:br w:type="page"/>
      </w:r>
    </w:p>
    <w:p w14:paraId="61262D20" w14:textId="58665128" w:rsidR="00733254" w:rsidRDefault="00733254" w:rsidP="00733254">
      <w:pPr>
        <w:spacing w:line="240" w:lineRule="auto"/>
        <w:contextualSpacing/>
        <w:rPr>
          <w:rFonts w:cs="Times New Roman"/>
          <w:sz w:val="20"/>
          <w:szCs w:val="20"/>
        </w:rPr>
      </w:pPr>
      <w:r w:rsidRPr="00733254">
        <w:rPr>
          <w:rFonts w:cs="Times New Roman"/>
          <w:sz w:val="20"/>
          <w:szCs w:val="20"/>
        </w:rPr>
        <w:lastRenderedPageBreak/>
        <w:t>Table 1S. Summary of parameters used to estimate leaf photosynthetic capacity from leaf gas</w:t>
      </w:r>
      <w:r>
        <w:rPr>
          <w:rFonts w:cs="Times New Roman"/>
          <w:sz w:val="20"/>
          <w:szCs w:val="20"/>
        </w:rPr>
        <w:t>-</w:t>
      </w:r>
      <w:r w:rsidRPr="00733254">
        <w:rPr>
          <w:rFonts w:cs="Times New Roman"/>
          <w:sz w:val="20"/>
          <w:szCs w:val="20"/>
        </w:rPr>
        <w:t>exchange measurements. The table summarizes each parameter</w:t>
      </w:r>
      <w:r>
        <w:rPr>
          <w:rFonts w:cs="Times New Roman"/>
          <w:sz w:val="20"/>
          <w:szCs w:val="20"/>
        </w:rPr>
        <w:t>'</w:t>
      </w:r>
      <w:r w:rsidRPr="00733254">
        <w:rPr>
          <w:rFonts w:cs="Times New Roman"/>
          <w:sz w:val="20"/>
          <w:szCs w:val="20"/>
        </w:rPr>
        <w:t>s symbol, description, value, unit, and reference.</w:t>
      </w:r>
    </w:p>
    <w:p w14:paraId="2D9CEBB3" w14:textId="77777777" w:rsidR="00733254" w:rsidRPr="00733254" w:rsidRDefault="00733254" w:rsidP="00733254">
      <w:pPr>
        <w:spacing w:line="240" w:lineRule="auto"/>
        <w:contextualSpacing/>
        <w:rPr>
          <w:rFonts w:cs="Times New Roman"/>
          <w:sz w:val="20"/>
          <w:szCs w:val="20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818"/>
        <w:gridCol w:w="1970"/>
        <w:gridCol w:w="1689"/>
        <w:gridCol w:w="1893"/>
      </w:tblGrid>
      <w:tr w:rsidR="00733254" w:rsidRPr="00733254" w14:paraId="0F858F9A" w14:textId="77777777" w:rsidTr="00733254">
        <w:tc>
          <w:tcPr>
            <w:tcW w:w="66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09E086F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Symbol</w:t>
            </w:r>
          </w:p>
        </w:tc>
        <w:tc>
          <w:tcPr>
            <w:tcW w:w="106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9B63BB4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Description</w:t>
            </w:r>
          </w:p>
        </w:tc>
        <w:tc>
          <w:tcPr>
            <w:tcW w:w="115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F1D36C3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Value</w:t>
            </w:r>
          </w:p>
        </w:tc>
        <w:tc>
          <w:tcPr>
            <w:tcW w:w="99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ECAD6E5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Unit</w:t>
            </w:r>
          </w:p>
        </w:tc>
        <w:tc>
          <w:tcPr>
            <w:tcW w:w="111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6A2D300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Reference</w:t>
            </w:r>
          </w:p>
        </w:tc>
      </w:tr>
      <w:tr w:rsidR="00733254" w:rsidRPr="00733254" w14:paraId="703629E4" w14:textId="77777777" w:rsidTr="00733254">
        <w:tc>
          <w:tcPr>
            <w:tcW w:w="667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1E2D04E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i/>
                <w:iCs/>
                <w:sz w:val="20"/>
                <w:szCs w:val="20"/>
              </w:rPr>
              <w:t>k</w:t>
            </w:r>
            <w:r w:rsidRPr="00733254">
              <w:rPr>
                <w:rFonts w:cs="Times New Roman"/>
                <w:sz w:val="20"/>
                <w:szCs w:val="20"/>
                <w:vertAlign w:val="subscript"/>
              </w:rPr>
              <w:t>25</w:t>
            </w:r>
            <w:r w:rsidRPr="00733254">
              <w:rPr>
                <w:rFonts w:cs="Times New Roman"/>
                <w:sz w:val="20"/>
                <w:szCs w:val="20"/>
              </w:rPr>
              <w:t xml:space="preserve"> (</w:t>
            </w:r>
            <w:r w:rsidRPr="00733254">
              <w:rPr>
                <w:rFonts w:cs="Times New Roman"/>
                <w:i/>
                <w:iCs/>
                <w:sz w:val="20"/>
                <w:szCs w:val="20"/>
              </w:rPr>
              <w:t>K</w:t>
            </w:r>
            <w:r w:rsidRPr="00733254">
              <w:rPr>
                <w:rFonts w:cs="Times New Roman"/>
                <w:sz w:val="20"/>
                <w:szCs w:val="20"/>
                <w:vertAlign w:val="subscript"/>
              </w:rPr>
              <w:t>c</w:t>
            </w:r>
            <w:r w:rsidRPr="0073325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69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55DED25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Michaelis–Menten constant for CO</w:t>
            </w:r>
            <w:r w:rsidRPr="00733254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733254">
              <w:rPr>
                <w:rFonts w:cs="Times New Roman"/>
                <w:sz w:val="20"/>
                <w:szCs w:val="20"/>
              </w:rPr>
              <w:t xml:space="preserve"> at</w:t>
            </w:r>
          </w:p>
          <w:p w14:paraId="3F5F6FBF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25°C</w:t>
            </w:r>
          </w:p>
        </w:tc>
        <w:tc>
          <w:tcPr>
            <w:tcW w:w="1158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B4EBAEB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404.90</w:t>
            </w:r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6659C9E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iCs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μmol 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–2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–1</m:t>
                    </m:r>
                  </m:sup>
                </m:sSup>
              </m:oMath>
            </m:oMathPara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3362BAC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 xml:space="preserve">Bernacchi </w:t>
            </w:r>
            <w:r w:rsidRPr="00733254">
              <w:rPr>
                <w:rFonts w:cs="Times New Roman"/>
                <w:i/>
                <w:iCs/>
                <w:sz w:val="20"/>
                <w:szCs w:val="20"/>
              </w:rPr>
              <w:t>et al.</w:t>
            </w:r>
            <w:r w:rsidRPr="00733254">
              <w:rPr>
                <w:rFonts w:cs="Times New Roman"/>
                <w:sz w:val="20"/>
                <w:szCs w:val="20"/>
              </w:rPr>
              <w:t xml:space="preserve"> (2001)</w:t>
            </w:r>
          </w:p>
        </w:tc>
      </w:tr>
      <w:tr w:rsidR="00733254" w:rsidRPr="00733254" w14:paraId="64EACC34" w14:textId="77777777" w:rsidTr="00733254">
        <w:tc>
          <w:tcPr>
            <w:tcW w:w="667" w:type="pct"/>
            <w:hideMark/>
          </w:tcPr>
          <w:p w14:paraId="68F209CF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i/>
                <w:iCs/>
                <w:sz w:val="20"/>
                <w:szCs w:val="20"/>
              </w:rPr>
              <w:t>k</w:t>
            </w:r>
            <w:r w:rsidRPr="00733254">
              <w:rPr>
                <w:rFonts w:cs="Times New Roman"/>
                <w:sz w:val="20"/>
                <w:szCs w:val="20"/>
                <w:vertAlign w:val="subscript"/>
              </w:rPr>
              <w:t>25</w:t>
            </w:r>
            <w:r w:rsidRPr="00733254">
              <w:rPr>
                <w:rFonts w:cs="Times New Roman"/>
                <w:sz w:val="20"/>
                <w:szCs w:val="20"/>
              </w:rPr>
              <w:t xml:space="preserve"> (</w:t>
            </w:r>
            <w:r w:rsidRPr="00733254">
              <w:rPr>
                <w:rFonts w:cs="Times New Roman"/>
                <w:i/>
                <w:iCs/>
                <w:sz w:val="20"/>
                <w:szCs w:val="20"/>
              </w:rPr>
              <w:t>K</w:t>
            </w:r>
            <w:r w:rsidRPr="00733254">
              <w:rPr>
                <w:rFonts w:cs="Times New Roman"/>
                <w:sz w:val="20"/>
                <w:szCs w:val="20"/>
                <w:vertAlign w:val="subscript"/>
              </w:rPr>
              <w:t>o</w:t>
            </w:r>
            <w:r w:rsidRPr="0073325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69" w:type="pct"/>
            <w:hideMark/>
          </w:tcPr>
          <w:p w14:paraId="286F3F50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Michaelis–Menten constant for O</w:t>
            </w:r>
            <w:r w:rsidRPr="00733254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733254">
              <w:rPr>
                <w:rFonts w:cs="Times New Roman"/>
                <w:sz w:val="20"/>
                <w:szCs w:val="20"/>
              </w:rPr>
              <w:t xml:space="preserve"> at</w:t>
            </w:r>
          </w:p>
          <w:p w14:paraId="4EDCB63B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25°C</w:t>
            </w:r>
          </w:p>
        </w:tc>
        <w:tc>
          <w:tcPr>
            <w:tcW w:w="1158" w:type="pct"/>
            <w:hideMark/>
          </w:tcPr>
          <w:p w14:paraId="0447CAEE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278.40</w:t>
            </w:r>
          </w:p>
        </w:tc>
        <w:tc>
          <w:tcPr>
            <w:tcW w:w="993" w:type="pct"/>
            <w:hideMark/>
          </w:tcPr>
          <w:p w14:paraId="5140C99A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mmol 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–2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–1</m:t>
                    </m:r>
                  </m:sup>
                </m:sSup>
              </m:oMath>
            </m:oMathPara>
          </w:p>
        </w:tc>
        <w:tc>
          <w:tcPr>
            <w:tcW w:w="1113" w:type="pct"/>
            <w:hideMark/>
          </w:tcPr>
          <w:p w14:paraId="3D82FB2D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 xml:space="preserve">Bernacchi </w:t>
            </w:r>
            <w:r w:rsidRPr="00733254">
              <w:rPr>
                <w:rFonts w:cs="Times New Roman"/>
                <w:i/>
                <w:iCs/>
                <w:sz w:val="20"/>
                <w:szCs w:val="20"/>
              </w:rPr>
              <w:t>et al.</w:t>
            </w:r>
            <w:r w:rsidRPr="00733254">
              <w:rPr>
                <w:rFonts w:cs="Times New Roman"/>
                <w:sz w:val="20"/>
                <w:szCs w:val="20"/>
              </w:rPr>
              <w:t xml:space="preserve"> (2001)</w:t>
            </w:r>
          </w:p>
        </w:tc>
      </w:tr>
      <w:tr w:rsidR="00733254" w:rsidRPr="00733254" w14:paraId="01C49632" w14:textId="77777777" w:rsidTr="00733254">
        <w:tc>
          <w:tcPr>
            <w:tcW w:w="667" w:type="pct"/>
            <w:hideMark/>
          </w:tcPr>
          <w:p w14:paraId="1EA8E572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i/>
                <w:iCs/>
                <w:sz w:val="20"/>
                <w:szCs w:val="20"/>
              </w:rPr>
              <w:t>k</w:t>
            </w:r>
            <w:r w:rsidRPr="00733254">
              <w:rPr>
                <w:rFonts w:cs="Times New Roman"/>
                <w:sz w:val="20"/>
                <w:szCs w:val="20"/>
                <w:vertAlign w:val="subscript"/>
              </w:rPr>
              <w:t>25</w:t>
            </w:r>
            <w:r w:rsidRPr="00733254">
              <w:rPr>
                <w:rFonts w:cs="Times New Roman"/>
                <w:sz w:val="20"/>
                <w:szCs w:val="20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Γ</m:t>
              </m:r>
            </m:oMath>
            <w:r w:rsidRPr="00733254">
              <w:rPr>
                <w:rFonts w:cs="Times New Roman"/>
                <w:sz w:val="20"/>
                <w:szCs w:val="20"/>
              </w:rPr>
              <w:t>*)</w:t>
            </w:r>
          </w:p>
        </w:tc>
        <w:tc>
          <w:tcPr>
            <w:tcW w:w="1069" w:type="pct"/>
            <w:hideMark/>
          </w:tcPr>
          <w:p w14:paraId="5077183C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Michaelis–Menten constant for CO</w:t>
            </w:r>
            <w:r w:rsidRPr="00733254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733254">
              <w:rPr>
                <w:rFonts w:cs="Times New Roman"/>
                <w:sz w:val="20"/>
                <w:szCs w:val="20"/>
              </w:rPr>
              <w:t>-compensation point in the absence of mitochondrial respiration at</w:t>
            </w:r>
          </w:p>
          <w:p w14:paraId="03E99D21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25°C</w:t>
            </w:r>
          </w:p>
        </w:tc>
        <w:tc>
          <w:tcPr>
            <w:tcW w:w="1158" w:type="pct"/>
            <w:hideMark/>
          </w:tcPr>
          <w:p w14:paraId="343D9A9C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42.75</w:t>
            </w:r>
          </w:p>
        </w:tc>
        <w:tc>
          <w:tcPr>
            <w:tcW w:w="993" w:type="pct"/>
            <w:hideMark/>
          </w:tcPr>
          <w:p w14:paraId="3A611F2D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μmol 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–2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–1</m:t>
                    </m:r>
                  </m:sup>
                </m:sSup>
              </m:oMath>
            </m:oMathPara>
          </w:p>
        </w:tc>
        <w:tc>
          <w:tcPr>
            <w:tcW w:w="1113" w:type="pct"/>
            <w:hideMark/>
          </w:tcPr>
          <w:p w14:paraId="3AF5C648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 xml:space="preserve">Bernacchi </w:t>
            </w:r>
            <w:r w:rsidRPr="00733254">
              <w:rPr>
                <w:rFonts w:cs="Times New Roman"/>
                <w:i/>
                <w:iCs/>
                <w:sz w:val="20"/>
                <w:szCs w:val="20"/>
              </w:rPr>
              <w:t>et al</w:t>
            </w:r>
            <w:r w:rsidRPr="00733254">
              <w:rPr>
                <w:rFonts w:cs="Times New Roman"/>
                <w:sz w:val="20"/>
                <w:szCs w:val="20"/>
              </w:rPr>
              <w:t>. (2001)</w:t>
            </w:r>
          </w:p>
        </w:tc>
      </w:tr>
      <w:tr w:rsidR="00733254" w:rsidRPr="00733254" w14:paraId="7D3370C9" w14:textId="77777777" w:rsidTr="00733254">
        <w:tc>
          <w:tcPr>
            <w:tcW w:w="667" w:type="pct"/>
            <w:hideMark/>
          </w:tcPr>
          <w:p w14:paraId="6DC2AE10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733254">
              <w:rPr>
                <w:rFonts w:cs="Times New Roman"/>
                <w:i/>
                <w:iCs/>
                <w:sz w:val="20"/>
                <w:szCs w:val="20"/>
              </w:rPr>
              <w:t>E</w:t>
            </w:r>
            <w:r w:rsidRPr="00733254">
              <w:rPr>
                <w:rFonts w:cs="Times New Roman"/>
                <w:sz w:val="20"/>
                <w:szCs w:val="20"/>
                <w:vertAlign w:val="subscript"/>
              </w:rPr>
              <w:t>a</w:t>
            </w:r>
            <w:proofErr w:type="spellEnd"/>
            <w:r w:rsidRPr="00733254">
              <w:rPr>
                <w:rFonts w:cs="Times New Roman"/>
                <w:sz w:val="20"/>
                <w:szCs w:val="20"/>
              </w:rPr>
              <w:t xml:space="preserve"> (</w:t>
            </w:r>
            <w:r w:rsidRPr="00733254">
              <w:rPr>
                <w:rFonts w:cs="Times New Roman"/>
                <w:i/>
                <w:iCs/>
                <w:sz w:val="20"/>
                <w:szCs w:val="20"/>
              </w:rPr>
              <w:t>K</w:t>
            </w:r>
            <w:r w:rsidRPr="00733254">
              <w:rPr>
                <w:rFonts w:cs="Times New Roman"/>
                <w:sz w:val="20"/>
                <w:szCs w:val="20"/>
                <w:vertAlign w:val="subscript"/>
              </w:rPr>
              <w:t>c</w:t>
            </w:r>
            <w:r w:rsidRPr="0073325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69" w:type="pct"/>
            <w:hideMark/>
          </w:tcPr>
          <w:p w14:paraId="609C9AF7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 xml:space="preserve">Activation energy for </w:t>
            </w:r>
            <w:r w:rsidRPr="00733254">
              <w:rPr>
                <w:rFonts w:cs="Times New Roman"/>
                <w:i/>
                <w:iCs/>
                <w:sz w:val="20"/>
                <w:szCs w:val="20"/>
              </w:rPr>
              <w:t>K</w:t>
            </w:r>
            <w:r w:rsidRPr="00733254">
              <w:rPr>
                <w:rFonts w:cs="Times New Roman"/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1158" w:type="pct"/>
            <w:hideMark/>
          </w:tcPr>
          <w:p w14:paraId="72F1EFF0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79.43</w:t>
            </w:r>
          </w:p>
        </w:tc>
        <w:tc>
          <w:tcPr>
            <w:tcW w:w="993" w:type="pct"/>
            <w:hideMark/>
          </w:tcPr>
          <w:p w14:paraId="468EADD8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iCs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kJ 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mol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–1</m:t>
                    </m:r>
                  </m:sup>
                </m:sSup>
              </m:oMath>
            </m:oMathPara>
          </w:p>
        </w:tc>
        <w:tc>
          <w:tcPr>
            <w:tcW w:w="1113" w:type="pct"/>
            <w:hideMark/>
          </w:tcPr>
          <w:p w14:paraId="6AB0016C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 xml:space="preserve">Bernacchi </w:t>
            </w:r>
            <w:r w:rsidRPr="00733254">
              <w:rPr>
                <w:rFonts w:cs="Times New Roman"/>
                <w:i/>
                <w:iCs/>
                <w:sz w:val="20"/>
                <w:szCs w:val="20"/>
              </w:rPr>
              <w:t>et al.</w:t>
            </w:r>
            <w:r w:rsidRPr="00733254">
              <w:rPr>
                <w:rFonts w:cs="Times New Roman"/>
                <w:sz w:val="20"/>
                <w:szCs w:val="20"/>
              </w:rPr>
              <w:t xml:space="preserve"> (2001)</w:t>
            </w:r>
          </w:p>
        </w:tc>
      </w:tr>
      <w:tr w:rsidR="00733254" w:rsidRPr="00733254" w14:paraId="1BDE9D8F" w14:textId="77777777" w:rsidTr="00733254">
        <w:tc>
          <w:tcPr>
            <w:tcW w:w="667" w:type="pct"/>
            <w:hideMark/>
          </w:tcPr>
          <w:p w14:paraId="397AC615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733254">
              <w:rPr>
                <w:rFonts w:cs="Times New Roman"/>
                <w:i/>
                <w:iCs/>
                <w:sz w:val="20"/>
                <w:szCs w:val="20"/>
              </w:rPr>
              <w:t>E</w:t>
            </w:r>
            <w:r w:rsidRPr="00733254">
              <w:rPr>
                <w:rFonts w:cs="Times New Roman"/>
                <w:sz w:val="20"/>
                <w:szCs w:val="20"/>
                <w:vertAlign w:val="subscript"/>
              </w:rPr>
              <w:t>a</w:t>
            </w:r>
            <w:proofErr w:type="spellEnd"/>
            <w:r w:rsidRPr="00733254">
              <w:rPr>
                <w:rFonts w:cs="Times New Roman"/>
                <w:sz w:val="20"/>
                <w:szCs w:val="20"/>
              </w:rPr>
              <w:t xml:space="preserve"> (</w:t>
            </w:r>
            <w:r w:rsidRPr="00733254">
              <w:rPr>
                <w:rFonts w:cs="Times New Roman"/>
                <w:i/>
                <w:iCs/>
                <w:sz w:val="20"/>
                <w:szCs w:val="20"/>
              </w:rPr>
              <w:t>K</w:t>
            </w:r>
            <w:r w:rsidRPr="00733254">
              <w:rPr>
                <w:rFonts w:cs="Times New Roman"/>
                <w:sz w:val="20"/>
                <w:szCs w:val="20"/>
                <w:vertAlign w:val="subscript"/>
              </w:rPr>
              <w:t>o</w:t>
            </w:r>
            <w:r w:rsidRPr="0073325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69" w:type="pct"/>
            <w:hideMark/>
          </w:tcPr>
          <w:p w14:paraId="360DDF3C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 xml:space="preserve">Activation energy for </w:t>
            </w:r>
            <w:r w:rsidRPr="00733254">
              <w:rPr>
                <w:rFonts w:cs="Times New Roman"/>
                <w:i/>
                <w:iCs/>
                <w:sz w:val="20"/>
                <w:szCs w:val="20"/>
              </w:rPr>
              <w:t>K</w:t>
            </w:r>
            <w:r w:rsidRPr="00733254">
              <w:rPr>
                <w:rFonts w:cs="Times New Roman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1158" w:type="pct"/>
            <w:hideMark/>
          </w:tcPr>
          <w:p w14:paraId="4D39BED6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36.38</w:t>
            </w:r>
          </w:p>
        </w:tc>
        <w:tc>
          <w:tcPr>
            <w:tcW w:w="993" w:type="pct"/>
            <w:hideMark/>
          </w:tcPr>
          <w:p w14:paraId="3B5B00DE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kJ 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mol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–1</m:t>
                    </m:r>
                  </m:sup>
                </m:sSup>
              </m:oMath>
            </m:oMathPara>
          </w:p>
        </w:tc>
        <w:tc>
          <w:tcPr>
            <w:tcW w:w="1113" w:type="pct"/>
            <w:hideMark/>
          </w:tcPr>
          <w:p w14:paraId="2D3D186B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 xml:space="preserve">Bernacchi </w:t>
            </w:r>
            <w:r w:rsidRPr="00733254">
              <w:rPr>
                <w:rFonts w:cs="Times New Roman"/>
                <w:i/>
                <w:iCs/>
                <w:sz w:val="20"/>
                <w:szCs w:val="20"/>
              </w:rPr>
              <w:t>et al</w:t>
            </w:r>
            <w:r w:rsidRPr="00733254">
              <w:rPr>
                <w:rFonts w:cs="Times New Roman"/>
                <w:sz w:val="20"/>
                <w:szCs w:val="20"/>
              </w:rPr>
              <w:t>. (2001)</w:t>
            </w:r>
          </w:p>
        </w:tc>
      </w:tr>
      <w:tr w:rsidR="00733254" w:rsidRPr="00733254" w14:paraId="6FE689E3" w14:textId="77777777" w:rsidTr="00733254">
        <w:tc>
          <w:tcPr>
            <w:tcW w:w="667" w:type="pct"/>
            <w:hideMark/>
          </w:tcPr>
          <w:p w14:paraId="464F44E0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733254">
              <w:rPr>
                <w:rFonts w:cs="Times New Roman"/>
                <w:i/>
                <w:iCs/>
                <w:sz w:val="20"/>
                <w:szCs w:val="20"/>
              </w:rPr>
              <w:t>E</w:t>
            </w:r>
            <w:r w:rsidRPr="00733254">
              <w:rPr>
                <w:rFonts w:cs="Times New Roman"/>
                <w:sz w:val="20"/>
                <w:szCs w:val="20"/>
                <w:vertAlign w:val="subscript"/>
              </w:rPr>
              <w:t>a</w:t>
            </w:r>
            <w:proofErr w:type="spellEnd"/>
            <w:r w:rsidRPr="00733254">
              <w:rPr>
                <w:rFonts w:cs="Times New Roman"/>
                <w:sz w:val="20"/>
                <w:szCs w:val="20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Γ</m:t>
              </m:r>
            </m:oMath>
            <w:r w:rsidRPr="00733254">
              <w:rPr>
                <w:rFonts w:cs="Times New Roman"/>
                <w:sz w:val="20"/>
                <w:szCs w:val="20"/>
              </w:rPr>
              <w:t>*)</w:t>
            </w:r>
          </w:p>
        </w:tc>
        <w:tc>
          <w:tcPr>
            <w:tcW w:w="1069" w:type="pct"/>
            <w:hideMark/>
          </w:tcPr>
          <w:p w14:paraId="6A121B9D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 xml:space="preserve">Activation energy for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Γ</m:t>
              </m:r>
            </m:oMath>
            <w:r w:rsidRPr="00733254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1158" w:type="pct"/>
            <w:hideMark/>
          </w:tcPr>
          <w:p w14:paraId="53BA58DC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37.83</w:t>
            </w:r>
          </w:p>
        </w:tc>
        <w:tc>
          <w:tcPr>
            <w:tcW w:w="993" w:type="pct"/>
            <w:hideMark/>
          </w:tcPr>
          <w:p w14:paraId="2EEFCF4F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kJ 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mol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–1</m:t>
                    </m:r>
                  </m:sup>
                </m:sSup>
              </m:oMath>
            </m:oMathPara>
          </w:p>
        </w:tc>
        <w:tc>
          <w:tcPr>
            <w:tcW w:w="1113" w:type="pct"/>
            <w:hideMark/>
          </w:tcPr>
          <w:p w14:paraId="40F0C5F1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 xml:space="preserve">Bernacchi </w:t>
            </w:r>
            <w:r w:rsidRPr="00733254">
              <w:rPr>
                <w:rFonts w:cs="Times New Roman"/>
                <w:i/>
                <w:iCs/>
                <w:sz w:val="20"/>
                <w:szCs w:val="20"/>
              </w:rPr>
              <w:t>et al.</w:t>
            </w:r>
            <w:r w:rsidRPr="00733254">
              <w:rPr>
                <w:rFonts w:cs="Times New Roman"/>
                <w:sz w:val="20"/>
                <w:szCs w:val="20"/>
              </w:rPr>
              <w:t xml:space="preserve"> (2001)</w:t>
            </w:r>
          </w:p>
        </w:tc>
      </w:tr>
      <w:tr w:rsidR="00733254" w:rsidRPr="00733254" w14:paraId="224E5BC9" w14:textId="77777777" w:rsidTr="00733254">
        <w:tc>
          <w:tcPr>
            <w:tcW w:w="667" w:type="pct"/>
            <w:hideMark/>
          </w:tcPr>
          <w:p w14:paraId="7A44B369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i/>
                <w:iCs/>
                <w:sz w:val="20"/>
                <w:szCs w:val="20"/>
              </w:rPr>
            </w:pPr>
            <w:r w:rsidRPr="00733254">
              <w:rPr>
                <w:rFonts w:cs="Times New Roman"/>
                <w:i/>
                <w:iCs/>
                <w:sz w:val="20"/>
                <w:szCs w:val="20"/>
              </w:rPr>
              <w:t>O</w:t>
            </w:r>
            <w:r w:rsidRPr="00733254">
              <w:rPr>
                <w:rFonts w:cs="Times New Roman"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069" w:type="pct"/>
            <w:hideMark/>
          </w:tcPr>
          <w:p w14:paraId="38A3BD5A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Atmospheric O</w:t>
            </w:r>
            <w:r w:rsidRPr="00733254">
              <w:rPr>
                <w:rFonts w:cs="Times New Roman"/>
                <w:sz w:val="20"/>
                <w:szCs w:val="20"/>
                <w:vertAlign w:val="subscript"/>
              </w:rPr>
              <w:t xml:space="preserve">2 </w:t>
            </w:r>
            <w:r w:rsidRPr="00733254">
              <w:rPr>
                <w:rFonts w:cs="Times New Roman"/>
                <w:sz w:val="20"/>
                <w:szCs w:val="20"/>
              </w:rPr>
              <w:t xml:space="preserve">Concentration </w:t>
            </w:r>
          </w:p>
        </w:tc>
        <w:tc>
          <w:tcPr>
            <w:tcW w:w="1158" w:type="pct"/>
            <w:hideMark/>
          </w:tcPr>
          <w:p w14:paraId="7CA4096C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210</w:t>
            </w:r>
          </w:p>
        </w:tc>
        <w:tc>
          <w:tcPr>
            <w:tcW w:w="993" w:type="pct"/>
            <w:hideMark/>
          </w:tcPr>
          <w:p w14:paraId="3C0A6B5F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mmol 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mol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–1</m:t>
                    </m:r>
                  </m:sup>
                </m:sSup>
              </m:oMath>
            </m:oMathPara>
          </w:p>
        </w:tc>
        <w:tc>
          <w:tcPr>
            <w:tcW w:w="1113" w:type="pct"/>
          </w:tcPr>
          <w:p w14:paraId="76C5EE28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33254" w:rsidRPr="00733254" w14:paraId="30CFC0FC" w14:textId="77777777" w:rsidTr="00733254">
        <w:tc>
          <w:tcPr>
            <w:tcW w:w="667" w:type="pct"/>
            <w:hideMark/>
          </w:tcPr>
          <w:p w14:paraId="3323ED2F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i/>
                <w:iCs/>
                <w:sz w:val="20"/>
                <w:szCs w:val="20"/>
              </w:rPr>
            </w:pPr>
            <w:r w:rsidRPr="00733254">
              <w:rPr>
                <w:rFonts w:cs="Times New Roman"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1069" w:type="pct"/>
            <w:hideMark/>
          </w:tcPr>
          <w:p w14:paraId="044F02A3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Universal gas constant</w:t>
            </w:r>
          </w:p>
        </w:tc>
        <w:tc>
          <w:tcPr>
            <w:tcW w:w="1158" w:type="pct"/>
            <w:hideMark/>
          </w:tcPr>
          <w:p w14:paraId="6624E388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8.31</w:t>
            </w:r>
          </w:p>
        </w:tc>
        <w:tc>
          <w:tcPr>
            <w:tcW w:w="993" w:type="pct"/>
            <w:hideMark/>
          </w:tcPr>
          <w:p w14:paraId="3039BAB7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J 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–1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mol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–1</m:t>
                    </m:r>
                  </m:sup>
                </m:sSup>
              </m:oMath>
            </m:oMathPara>
          </w:p>
        </w:tc>
        <w:tc>
          <w:tcPr>
            <w:tcW w:w="1113" w:type="pct"/>
          </w:tcPr>
          <w:p w14:paraId="31BCBDF2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33254" w:rsidRPr="00733254" w14:paraId="38EABEF6" w14:textId="77777777" w:rsidTr="00733254">
        <w:tc>
          <w:tcPr>
            <w:tcW w:w="667" w:type="pct"/>
            <w:tcBorders>
              <w:bottom w:val="single" w:sz="4" w:space="0" w:color="auto"/>
            </w:tcBorders>
            <w:hideMark/>
          </w:tcPr>
          <w:p w14:paraId="2D2B55BF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733254">
              <w:rPr>
                <w:rFonts w:cs="Times New Roman"/>
                <w:i/>
                <w:sz w:val="20"/>
                <w:szCs w:val="20"/>
              </w:rPr>
              <w:t>R</w:t>
            </w:r>
            <w:r w:rsidRPr="00733254">
              <w:rPr>
                <w:rFonts w:cs="Times New Roman"/>
                <w:iCs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hideMark/>
          </w:tcPr>
          <w:p w14:paraId="72853DD3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>Leaf respiration during the day</w:t>
            </w:r>
          </w:p>
        </w:tc>
        <w:tc>
          <w:tcPr>
            <w:tcW w:w="1158" w:type="pct"/>
            <w:tcBorders>
              <w:bottom w:val="single" w:sz="4" w:space="0" w:color="auto"/>
            </w:tcBorders>
            <w:hideMark/>
          </w:tcPr>
          <w:p w14:paraId="7CA1C5C1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0.015×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cmax</m:t>
                    </m:r>
                  </m:sub>
                </m:sSub>
              </m:oMath>
            </m:oMathPara>
          </w:p>
        </w:tc>
        <w:tc>
          <w:tcPr>
            <w:tcW w:w="993" w:type="pct"/>
            <w:tcBorders>
              <w:bottom w:val="single" w:sz="4" w:space="0" w:color="auto"/>
            </w:tcBorders>
          </w:tcPr>
          <w:p w14:paraId="652C71ED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μmol 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–2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–1</m:t>
                    </m:r>
                  </m:sup>
                </m:sSup>
              </m:oMath>
            </m:oMathPara>
          </w:p>
        </w:tc>
        <w:tc>
          <w:tcPr>
            <w:tcW w:w="1113" w:type="pct"/>
            <w:tcBorders>
              <w:bottom w:val="single" w:sz="4" w:space="0" w:color="auto"/>
            </w:tcBorders>
            <w:hideMark/>
          </w:tcPr>
          <w:p w14:paraId="751B71D4" w14:textId="77777777" w:rsidR="00733254" w:rsidRPr="00733254" w:rsidRDefault="00733254" w:rsidP="00733254">
            <w:pPr>
              <w:spacing w:line="24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33254">
              <w:rPr>
                <w:rFonts w:cs="Times New Roman"/>
                <w:sz w:val="20"/>
                <w:szCs w:val="20"/>
              </w:rPr>
              <w:t xml:space="preserve">De Kauwe </w:t>
            </w:r>
            <w:r w:rsidRPr="00733254">
              <w:rPr>
                <w:rFonts w:cs="Times New Roman"/>
                <w:i/>
                <w:sz w:val="20"/>
                <w:szCs w:val="20"/>
              </w:rPr>
              <w:t>et al.</w:t>
            </w:r>
            <w:r w:rsidRPr="00733254">
              <w:rPr>
                <w:rFonts w:cs="Times New Roman"/>
                <w:sz w:val="20"/>
                <w:szCs w:val="20"/>
              </w:rPr>
              <w:t xml:space="preserve"> (2016)</w:t>
            </w:r>
          </w:p>
        </w:tc>
      </w:tr>
    </w:tbl>
    <w:p w14:paraId="51E29AD8" w14:textId="77777777" w:rsidR="00547146" w:rsidRPr="00733254" w:rsidRDefault="00547146" w:rsidP="00733254">
      <w:pPr>
        <w:spacing w:line="240" w:lineRule="auto"/>
        <w:contextualSpacing/>
        <w:rPr>
          <w:rFonts w:cs="Times New Roman"/>
          <w:sz w:val="20"/>
          <w:szCs w:val="20"/>
        </w:rPr>
      </w:pPr>
    </w:p>
    <w:sectPr w:rsidR="00547146" w:rsidRPr="00733254" w:rsidSect="00733254">
      <w:footerReference w:type="default" r:id="rId10"/>
      <w:pgSz w:w="11906" w:h="16838" w:code="9"/>
      <w:pgMar w:top="1985" w:right="1701" w:bottom="1701" w:left="1701" w:header="851" w:footer="454" w:gutter="0"/>
      <w:lnNumType w:countBy="1" w:restart="continuous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8331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86B14" w14:textId="77777777" w:rsidR="00733254" w:rsidRDefault="0073325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C09DBA" w14:textId="77777777" w:rsidR="00733254" w:rsidRDefault="00733254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zN7awMDc3M7UwMrdU0lEKTi0uzszPAykwrAUAHaenBiwAAAA="/>
  </w:docVars>
  <w:rsids>
    <w:rsidRoot w:val="005A2C2D"/>
    <w:rsid w:val="00171E22"/>
    <w:rsid w:val="002C3E25"/>
    <w:rsid w:val="003E64BA"/>
    <w:rsid w:val="00462ACF"/>
    <w:rsid w:val="0053198D"/>
    <w:rsid w:val="00547146"/>
    <w:rsid w:val="005553C2"/>
    <w:rsid w:val="005A2C2D"/>
    <w:rsid w:val="00733254"/>
    <w:rsid w:val="00F2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B042"/>
  <w15:chartTrackingRefBased/>
  <w15:docId w15:val="{A9362CAE-17F2-49E1-B83A-3FFDB116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3254"/>
    <w:pPr>
      <w:widowControl w:val="0"/>
      <w:spacing w:after="0" w:line="480" w:lineRule="auto"/>
      <w:jc w:val="both"/>
    </w:pPr>
    <w:rPr>
      <w:rFonts w:ascii="Times New Roman" w:eastAsiaTheme="minorEastAsia" w:hAnsi="Times New Roman"/>
      <w:sz w:val="24"/>
      <w:lang w:val="en-US"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5A2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2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2C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2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2C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2C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2C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2C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2C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2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2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2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2C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2C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2C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2C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2C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2C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2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2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2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2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2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2C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2C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2C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2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2C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2C2D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33254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rsid w:val="00733254"/>
    <w:rPr>
      <w:rFonts w:ascii="Times New Roman" w:eastAsiaTheme="minorEastAsia" w:hAnsi="Times New Roman"/>
      <w:sz w:val="24"/>
      <w:lang w:val="en-US" w:eastAsia="ja-JP"/>
    </w:rPr>
  </w:style>
  <w:style w:type="table" w:styleId="Mkatabulky">
    <w:name w:val="Table Grid"/>
    <w:basedOn w:val="Normlntabulka"/>
    <w:uiPriority w:val="39"/>
    <w:rsid w:val="00733254"/>
    <w:pPr>
      <w:spacing w:after="0" w:line="240" w:lineRule="auto"/>
    </w:pPr>
    <w:rPr>
      <w:rFonts w:eastAsiaTheme="minorEastAsia"/>
      <w:sz w:val="21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dku">
    <w:name w:val="line number"/>
    <w:basedOn w:val="Standardnpsmoodstavce"/>
    <w:uiPriority w:val="99"/>
    <w:semiHidden/>
    <w:unhideWhenUsed/>
    <w:rsid w:val="0073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fontTable" Target="fontTable.xml"/><Relationship Id="rId5" Type="http://schemas.openxmlformats.org/officeDocument/2006/relationships/image" Target="media/image2.tiff"/><Relationship Id="rId10" Type="http://schemas.openxmlformats.org/officeDocument/2006/relationships/footer" Target="footer1.xml"/><Relationship Id="rId4" Type="http://schemas.openxmlformats.org/officeDocument/2006/relationships/image" Target="media/image1.tiff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437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Spousta</dc:creator>
  <cp:keywords/>
  <dc:description/>
  <cp:lastModifiedBy>Martin Spousta</cp:lastModifiedBy>
  <cp:revision>2</cp:revision>
  <dcterms:created xsi:type="dcterms:W3CDTF">2026-04-03T07:11:00Z</dcterms:created>
  <dcterms:modified xsi:type="dcterms:W3CDTF">2026-04-03T07:19:00Z</dcterms:modified>
</cp:coreProperties>
</file>